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sz w:val="20"/>
        </w:rPr>
      </w:pPr>
      <w:r>
        <w:rPr>
          <w:sz w:val="20"/>
        </w:rPr>
        <w:drawing>
          <wp:inline distT="0" distB="0" distL="0" distR="0">
            <wp:extent cx="2335296" cy="69465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35296" cy="694658"/>
                    </a:xfrm>
                    <a:prstGeom prst="rect">
                      <a:avLst/>
                    </a:prstGeom>
                  </pic:spPr>
                </pic:pic>
              </a:graphicData>
            </a:graphic>
          </wp:inline>
        </w:drawing>
      </w:r>
      <w:r>
        <w:rPr>
          <w:sz w:val="20"/>
        </w:rPr>
      </w:r>
    </w:p>
    <w:p>
      <w:pPr>
        <w:pStyle w:val="BodyText"/>
        <w:rPr>
          <w:sz w:val="20"/>
        </w:rPr>
      </w:pPr>
    </w:p>
    <w:p>
      <w:pPr>
        <w:pStyle w:val="BodyText"/>
        <w:spacing w:before="99"/>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3"/>
        <w:gridCol w:w="4523"/>
      </w:tblGrid>
      <w:tr>
        <w:trPr>
          <w:trHeight w:val="265" w:hRule="atLeast"/>
        </w:trPr>
        <w:tc>
          <w:tcPr>
            <w:tcW w:w="4363" w:type="dxa"/>
          </w:tcPr>
          <w:p>
            <w:pPr>
              <w:pStyle w:val="TableParagraph"/>
              <w:spacing w:line="246" w:lineRule="exact"/>
              <w:rPr>
                <w:b/>
                <w:i/>
                <w:sz w:val="24"/>
              </w:rPr>
            </w:pPr>
            <w:r>
              <w:rPr>
                <w:b/>
                <w:sz w:val="24"/>
              </w:rPr>
              <w:t>Policy</w:t>
            </w:r>
            <w:r>
              <w:rPr>
                <w:b/>
                <w:spacing w:val="-2"/>
                <w:sz w:val="24"/>
              </w:rPr>
              <w:t> </w:t>
            </w:r>
            <w:r>
              <w:rPr>
                <w:b/>
                <w:sz w:val="24"/>
              </w:rPr>
              <w:t>Title:</w:t>
            </w:r>
            <w:r>
              <w:rPr>
                <w:b/>
                <w:spacing w:val="-3"/>
                <w:sz w:val="24"/>
              </w:rPr>
              <w:t> </w:t>
            </w:r>
            <w:r>
              <w:rPr>
                <w:b/>
                <w:i/>
                <w:sz w:val="24"/>
              </w:rPr>
              <w:t>Bereavement</w:t>
            </w:r>
            <w:r>
              <w:rPr>
                <w:b/>
                <w:i/>
                <w:spacing w:val="-1"/>
                <w:sz w:val="24"/>
              </w:rPr>
              <w:t> </w:t>
            </w:r>
            <w:r>
              <w:rPr>
                <w:b/>
                <w:i/>
                <w:spacing w:val="-4"/>
                <w:sz w:val="24"/>
              </w:rPr>
              <w:t>Leave</w:t>
            </w:r>
          </w:p>
        </w:tc>
        <w:tc>
          <w:tcPr>
            <w:tcW w:w="4523" w:type="dxa"/>
          </w:tcPr>
          <w:p>
            <w:pPr>
              <w:pStyle w:val="TableParagraph"/>
              <w:spacing w:line="246" w:lineRule="exact"/>
              <w:ind w:left="1068"/>
              <w:rPr>
                <w:b/>
                <w:sz w:val="24"/>
              </w:rPr>
            </w:pPr>
            <w:r>
              <w:rPr>
                <w:b/>
                <w:sz w:val="24"/>
              </w:rPr>
              <w:t>Effective</w:t>
            </w:r>
            <w:r>
              <w:rPr>
                <w:b/>
                <w:spacing w:val="-4"/>
                <w:sz w:val="24"/>
              </w:rPr>
              <w:t> </w:t>
            </w:r>
            <w:r>
              <w:rPr>
                <w:b/>
                <w:sz w:val="24"/>
              </w:rPr>
              <w:t>Date:</w:t>
            </w:r>
            <w:r>
              <w:rPr>
                <w:b/>
                <w:spacing w:val="-1"/>
                <w:sz w:val="24"/>
              </w:rPr>
              <w:t> </w:t>
            </w:r>
            <w:r>
              <w:rPr>
                <w:b/>
                <w:sz w:val="24"/>
              </w:rPr>
              <w:t>December</w:t>
            </w:r>
            <w:r>
              <w:rPr>
                <w:b/>
                <w:spacing w:val="-1"/>
                <w:sz w:val="24"/>
              </w:rPr>
              <w:t> </w:t>
            </w:r>
            <w:r>
              <w:rPr>
                <w:b/>
                <w:sz w:val="24"/>
              </w:rPr>
              <w:t>1,</w:t>
            </w:r>
            <w:r>
              <w:rPr>
                <w:b/>
                <w:spacing w:val="-1"/>
                <w:sz w:val="24"/>
              </w:rPr>
              <w:t> </w:t>
            </w:r>
            <w:r>
              <w:rPr>
                <w:b/>
                <w:spacing w:val="-4"/>
                <w:sz w:val="24"/>
              </w:rPr>
              <w:t>2019</w:t>
            </w:r>
          </w:p>
        </w:tc>
      </w:tr>
    </w:tbl>
    <w:p>
      <w:pPr>
        <w:pStyle w:val="BodyText"/>
      </w:pPr>
    </w:p>
    <w:p>
      <w:pPr>
        <w:pStyle w:val="Heading2"/>
        <w:spacing w:before="1"/>
        <w:ind w:left="3747"/>
      </w:pPr>
      <w:r>
        <w:rPr/>
        <w:t>Trinity</w:t>
      </w:r>
      <w:r>
        <w:rPr>
          <w:spacing w:val="-4"/>
        </w:rPr>
        <w:t> </w:t>
      </w:r>
      <w:r>
        <w:rPr/>
        <w:t>Health</w:t>
      </w:r>
      <w:r>
        <w:rPr>
          <w:spacing w:val="-2"/>
        </w:rPr>
        <w:t> </w:t>
      </w:r>
      <w:r>
        <w:rPr/>
        <w:t>Human</w:t>
      </w:r>
      <w:r>
        <w:rPr>
          <w:spacing w:val="-2"/>
        </w:rPr>
        <w:t> </w:t>
      </w:r>
      <w:r>
        <w:rPr/>
        <w:t>Resources Mirror</w:t>
      </w:r>
      <w:r>
        <w:rPr>
          <w:spacing w:val="2"/>
        </w:rPr>
        <w:t> </w:t>
      </w:r>
      <w:r>
        <w:rPr/>
        <w:t>Policy</w:t>
      </w:r>
      <w:r>
        <w:rPr>
          <w:spacing w:val="-2"/>
        </w:rPr>
        <w:t> </w:t>
      </w:r>
      <w:r>
        <w:rPr/>
        <w:t>No.</w:t>
      </w:r>
      <w:r>
        <w:rPr>
          <w:spacing w:val="-1"/>
        </w:rPr>
        <w:t> </w:t>
      </w:r>
      <w:r>
        <w:rPr>
          <w:spacing w:val="-5"/>
        </w:rPr>
        <w:t>12</w:t>
      </w:r>
    </w:p>
    <w:p>
      <w:pPr>
        <w:pStyle w:val="BodyText"/>
        <w:rPr>
          <w:b/>
          <w:sz w:val="19"/>
        </w:rPr>
      </w:pPr>
      <w:r>
        <w:rPr>
          <w:b/>
          <w:sz w:val="19"/>
        </w:rPr>
        <mc:AlternateContent>
          <mc:Choice Requires="wps">
            <w:drawing>
              <wp:anchor distT="0" distB="0" distL="0" distR="0" allowOverlap="1" layoutInCell="1" locked="0" behindDoc="1" simplePos="0" relativeHeight="487587840">
                <wp:simplePos x="0" y="0"/>
                <wp:positionH relativeFrom="page">
                  <wp:posOffset>896416</wp:posOffset>
                </wp:positionH>
                <wp:positionV relativeFrom="paragraph">
                  <wp:posOffset>154377</wp:posOffset>
                </wp:positionV>
                <wp:extent cx="5752465" cy="2794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52465" cy="27940"/>
                        </a:xfrm>
                        <a:custGeom>
                          <a:avLst/>
                          <a:gdLst/>
                          <a:ahLst/>
                          <a:cxnLst/>
                          <a:rect l="l" t="t" r="r" b="b"/>
                          <a:pathLst>
                            <a:path w="5752465" h="27940">
                              <a:moveTo>
                                <a:pt x="5752465" y="0"/>
                              </a:moveTo>
                              <a:lnTo>
                                <a:pt x="0" y="0"/>
                              </a:lnTo>
                              <a:lnTo>
                                <a:pt x="0" y="27431"/>
                              </a:lnTo>
                              <a:lnTo>
                                <a:pt x="5752465" y="27431"/>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2.155704pt;width:452.95pt;height:2.16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spacing w:before="175"/>
        <w:rPr>
          <w:b/>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77"/>
        <w:gridCol w:w="3925"/>
      </w:tblGrid>
      <w:tr>
        <w:trPr>
          <w:trHeight w:val="2116" w:hRule="atLeast"/>
        </w:trPr>
        <w:tc>
          <w:tcPr>
            <w:tcW w:w="5177" w:type="dxa"/>
          </w:tcPr>
          <w:p>
            <w:pPr>
              <w:pStyle w:val="TableParagraph"/>
              <w:spacing w:line="265" w:lineRule="exact"/>
              <w:rPr>
                <w:b/>
                <w:sz w:val="24"/>
              </w:rPr>
            </w:pPr>
            <w:r>
              <w:rPr>
                <w:b/>
                <w:sz w:val="24"/>
              </w:rPr>
              <w:t>LOCATION(S)</w:t>
            </w:r>
            <w:r>
              <w:rPr>
                <w:b/>
                <w:spacing w:val="-2"/>
                <w:sz w:val="24"/>
              </w:rPr>
              <w:t> </w:t>
            </w:r>
            <w:r>
              <w:rPr>
                <w:b/>
                <w:sz w:val="24"/>
              </w:rPr>
              <w:t>Policy</w:t>
            </w:r>
            <w:r>
              <w:rPr>
                <w:b/>
                <w:spacing w:val="-1"/>
                <w:sz w:val="24"/>
              </w:rPr>
              <w:t> </w:t>
            </w:r>
            <w:r>
              <w:rPr>
                <w:b/>
                <w:sz w:val="24"/>
              </w:rPr>
              <w:t>is</w:t>
            </w:r>
            <w:r>
              <w:rPr>
                <w:b/>
                <w:spacing w:val="-1"/>
                <w:sz w:val="24"/>
              </w:rPr>
              <w:t> </w:t>
            </w:r>
            <w:r>
              <w:rPr>
                <w:b/>
                <w:sz w:val="24"/>
              </w:rPr>
              <w:t>Applicable</w:t>
            </w:r>
            <w:r>
              <w:rPr>
                <w:b/>
                <w:spacing w:val="-1"/>
                <w:sz w:val="24"/>
              </w:rPr>
              <w:t> </w:t>
            </w:r>
            <w:r>
              <w:rPr>
                <w:b/>
                <w:spacing w:val="-5"/>
                <w:sz w:val="24"/>
              </w:rPr>
              <w:t>to:</w:t>
            </w:r>
          </w:p>
          <w:p>
            <w:pPr>
              <w:pStyle w:val="TableParagraph"/>
              <w:spacing w:line="310" w:lineRule="exact"/>
              <w:rPr>
                <w:sz w:val="24"/>
              </w:rPr>
            </w:pPr>
            <w:r>
              <w:rPr>
                <w:rFonts w:ascii="MS Gothic" w:hAnsi="MS Gothic"/>
                <w:sz w:val="24"/>
              </w:rPr>
              <w:t>☒</w:t>
            </w:r>
            <w:r>
              <w:rPr>
                <w:rFonts w:ascii="MS Gothic" w:hAnsi="MS Gothic"/>
                <w:spacing w:val="-60"/>
                <w:sz w:val="24"/>
              </w:rPr>
              <w:t> </w:t>
            </w:r>
            <w:r>
              <w:rPr>
                <w:sz w:val="24"/>
              </w:rPr>
              <w:t>Saint</w:t>
            </w:r>
            <w:r>
              <w:rPr>
                <w:spacing w:val="-4"/>
                <w:sz w:val="24"/>
              </w:rPr>
              <w:t> </w:t>
            </w:r>
            <w:r>
              <w:rPr>
                <w:sz w:val="24"/>
              </w:rPr>
              <w:t>Francis</w:t>
            </w:r>
            <w:r>
              <w:rPr>
                <w:spacing w:val="-1"/>
                <w:sz w:val="24"/>
              </w:rPr>
              <w:t> </w:t>
            </w:r>
            <w:r>
              <w:rPr>
                <w:sz w:val="24"/>
              </w:rPr>
              <w:t>Hospital and</w:t>
            </w:r>
            <w:r>
              <w:rPr>
                <w:spacing w:val="-2"/>
                <w:sz w:val="24"/>
              </w:rPr>
              <w:t> </w:t>
            </w:r>
            <w:r>
              <w:rPr>
                <w:sz w:val="24"/>
              </w:rPr>
              <w:t>Medical</w:t>
            </w:r>
            <w:r>
              <w:rPr>
                <w:spacing w:val="-1"/>
                <w:sz w:val="24"/>
              </w:rPr>
              <w:t> </w:t>
            </w:r>
            <w:r>
              <w:rPr>
                <w:spacing w:val="-2"/>
                <w:sz w:val="24"/>
              </w:rPr>
              <w:t>Center</w:t>
            </w:r>
          </w:p>
          <w:p>
            <w:pPr>
              <w:pStyle w:val="TableParagraph"/>
              <w:spacing w:line="311" w:lineRule="exact"/>
              <w:rPr>
                <w:sz w:val="24"/>
              </w:rPr>
            </w:pPr>
            <w:r>
              <w:rPr>
                <w:rFonts w:ascii="MS Gothic" w:hAnsi="MS Gothic"/>
                <w:sz w:val="24"/>
              </w:rPr>
              <w:t>☒</w:t>
            </w:r>
            <w:r>
              <w:rPr>
                <w:rFonts w:ascii="MS Gothic" w:hAnsi="MS Gothic"/>
                <w:spacing w:val="-60"/>
                <w:sz w:val="24"/>
              </w:rPr>
              <w:t> </w:t>
            </w:r>
            <w:r>
              <w:rPr>
                <w:sz w:val="24"/>
              </w:rPr>
              <w:t>Mount</w:t>
            </w:r>
            <w:r>
              <w:rPr>
                <w:spacing w:val="-3"/>
                <w:sz w:val="24"/>
              </w:rPr>
              <w:t> </w:t>
            </w:r>
            <w:r>
              <w:rPr>
                <w:sz w:val="24"/>
              </w:rPr>
              <w:t>Sinai</w:t>
            </w:r>
            <w:r>
              <w:rPr>
                <w:spacing w:val="-1"/>
                <w:sz w:val="24"/>
              </w:rPr>
              <w:t> </w:t>
            </w:r>
            <w:r>
              <w:rPr>
                <w:sz w:val="24"/>
              </w:rPr>
              <w:t>Rehabilitation</w:t>
            </w:r>
            <w:r>
              <w:rPr>
                <w:spacing w:val="-1"/>
                <w:sz w:val="24"/>
              </w:rPr>
              <w:t> </w:t>
            </w:r>
            <w:r>
              <w:rPr>
                <w:spacing w:val="-2"/>
                <w:sz w:val="24"/>
              </w:rPr>
              <w:t>Hospital</w:t>
            </w:r>
          </w:p>
          <w:p>
            <w:pPr>
              <w:pStyle w:val="TableParagraph"/>
              <w:rPr>
                <w:sz w:val="24"/>
              </w:rPr>
            </w:pPr>
            <w:r>
              <w:rPr>
                <w:rFonts w:ascii="MS Gothic" w:hAnsi="MS Gothic"/>
                <w:sz w:val="24"/>
              </w:rPr>
              <w:t>☒</w:t>
            </w:r>
            <w:r>
              <w:rPr>
                <w:rFonts w:ascii="MS Gothic" w:hAnsi="MS Gothic"/>
                <w:spacing w:val="-60"/>
                <w:sz w:val="24"/>
              </w:rPr>
              <w:t> </w:t>
            </w:r>
            <w:r>
              <w:rPr>
                <w:sz w:val="24"/>
              </w:rPr>
              <w:t>Johnson</w:t>
            </w:r>
            <w:r>
              <w:rPr>
                <w:spacing w:val="-2"/>
                <w:sz w:val="24"/>
              </w:rPr>
              <w:t> </w:t>
            </w:r>
            <w:r>
              <w:rPr>
                <w:sz w:val="24"/>
              </w:rPr>
              <w:t>Memorial</w:t>
            </w:r>
            <w:r>
              <w:rPr>
                <w:spacing w:val="-1"/>
                <w:sz w:val="24"/>
              </w:rPr>
              <w:t> </w:t>
            </w:r>
            <w:r>
              <w:rPr>
                <w:sz w:val="24"/>
              </w:rPr>
              <w:t>Hospital,</w:t>
            </w:r>
            <w:r>
              <w:rPr>
                <w:spacing w:val="2"/>
                <w:sz w:val="24"/>
              </w:rPr>
              <w:t> </w:t>
            </w:r>
            <w:r>
              <w:rPr>
                <w:spacing w:val="-4"/>
                <w:sz w:val="24"/>
              </w:rPr>
              <w:t>Inc.</w:t>
            </w:r>
          </w:p>
          <w:p>
            <w:pPr>
              <w:pStyle w:val="TableParagraph"/>
              <w:spacing w:line="311" w:lineRule="exact"/>
              <w:rPr>
                <w:sz w:val="24"/>
              </w:rPr>
            </w:pPr>
            <w:r>
              <w:rPr>
                <w:rFonts w:ascii="MS Gothic" w:hAnsi="MS Gothic"/>
                <w:sz w:val="24"/>
              </w:rPr>
              <w:t>☒</w:t>
            </w:r>
            <w:r>
              <w:rPr>
                <w:rFonts w:ascii="MS Gothic" w:hAnsi="MS Gothic"/>
                <w:spacing w:val="-60"/>
                <w:sz w:val="24"/>
              </w:rPr>
              <w:t> </w:t>
            </w:r>
            <w:r>
              <w:rPr>
                <w:sz w:val="24"/>
              </w:rPr>
              <w:t>The</w:t>
            </w:r>
            <w:r>
              <w:rPr>
                <w:spacing w:val="-2"/>
                <w:sz w:val="24"/>
              </w:rPr>
              <w:t> </w:t>
            </w:r>
            <w:r>
              <w:rPr>
                <w:sz w:val="24"/>
              </w:rPr>
              <w:t>Mercy</w:t>
            </w:r>
            <w:r>
              <w:rPr>
                <w:spacing w:val="-3"/>
                <w:sz w:val="24"/>
              </w:rPr>
              <w:t> </w:t>
            </w:r>
            <w:r>
              <w:rPr>
                <w:sz w:val="24"/>
              </w:rPr>
              <w:t>Hospital,</w:t>
            </w:r>
            <w:r>
              <w:rPr>
                <w:spacing w:val="2"/>
                <w:sz w:val="24"/>
              </w:rPr>
              <w:t> </w:t>
            </w:r>
            <w:r>
              <w:rPr>
                <w:spacing w:val="-4"/>
                <w:sz w:val="24"/>
              </w:rPr>
              <w:t>Inc.</w:t>
            </w:r>
          </w:p>
          <w:p>
            <w:pPr>
              <w:pStyle w:val="TableParagraph"/>
              <w:spacing w:line="311" w:lineRule="exact"/>
              <w:rPr>
                <w:sz w:val="24"/>
              </w:rPr>
            </w:pPr>
            <w:r>
              <w:rPr>
                <w:rFonts w:ascii="MS Gothic" w:hAnsi="MS Gothic"/>
                <w:sz w:val="24"/>
              </w:rPr>
              <w:t>☒</w:t>
            </w:r>
            <w:r>
              <w:rPr>
                <w:rFonts w:ascii="MS Gothic" w:hAnsi="MS Gothic"/>
                <w:spacing w:val="-60"/>
                <w:sz w:val="24"/>
              </w:rPr>
              <w:t> </w:t>
            </w:r>
            <w:r>
              <w:rPr>
                <w:sz w:val="24"/>
              </w:rPr>
              <w:t>Saint</w:t>
            </w:r>
            <w:r>
              <w:rPr>
                <w:spacing w:val="-4"/>
                <w:sz w:val="24"/>
              </w:rPr>
              <w:t> </w:t>
            </w:r>
            <w:r>
              <w:rPr>
                <w:sz w:val="24"/>
              </w:rPr>
              <w:t>Mary’s</w:t>
            </w:r>
            <w:r>
              <w:rPr>
                <w:spacing w:val="-1"/>
                <w:sz w:val="24"/>
              </w:rPr>
              <w:t> </w:t>
            </w:r>
            <w:r>
              <w:rPr>
                <w:sz w:val="24"/>
              </w:rPr>
              <w:t>Hospital, </w:t>
            </w:r>
            <w:r>
              <w:rPr>
                <w:spacing w:val="-4"/>
                <w:sz w:val="24"/>
              </w:rPr>
              <w:t>Inc.</w:t>
            </w:r>
          </w:p>
          <w:p>
            <w:pPr>
              <w:pStyle w:val="TableParagraph"/>
              <w:spacing w:line="276" w:lineRule="exact"/>
              <w:rPr>
                <w:sz w:val="24"/>
              </w:rPr>
            </w:pPr>
            <w:r>
              <w:rPr>
                <w:rFonts w:ascii="MS Gothic" w:hAnsi="MS Gothic"/>
                <w:sz w:val="24"/>
              </w:rPr>
              <w:t>☒</w:t>
            </w:r>
            <w:r>
              <w:rPr>
                <w:rFonts w:ascii="MS Gothic" w:hAnsi="MS Gothic"/>
                <w:spacing w:val="-60"/>
                <w:sz w:val="24"/>
              </w:rPr>
              <w:t> </w:t>
            </w:r>
            <w:r>
              <w:rPr>
                <w:sz w:val="24"/>
              </w:rPr>
              <w:t>Trinity</w:t>
            </w:r>
            <w:r>
              <w:rPr>
                <w:spacing w:val="-7"/>
                <w:sz w:val="24"/>
              </w:rPr>
              <w:t> </w:t>
            </w:r>
            <w:r>
              <w:rPr>
                <w:sz w:val="24"/>
              </w:rPr>
              <w:t>Health</w:t>
            </w:r>
            <w:r>
              <w:rPr>
                <w:spacing w:val="-1"/>
                <w:sz w:val="24"/>
              </w:rPr>
              <w:t> </w:t>
            </w:r>
            <w:r>
              <w:rPr>
                <w:sz w:val="24"/>
              </w:rPr>
              <w:t>Of</w:t>
            </w:r>
            <w:r>
              <w:rPr>
                <w:spacing w:val="-3"/>
                <w:sz w:val="24"/>
              </w:rPr>
              <w:t> </w:t>
            </w:r>
            <w:r>
              <w:rPr>
                <w:sz w:val="24"/>
              </w:rPr>
              <w:t>New</w:t>
            </w:r>
            <w:r>
              <w:rPr>
                <w:spacing w:val="-1"/>
                <w:sz w:val="24"/>
              </w:rPr>
              <w:t> </w:t>
            </w:r>
            <w:r>
              <w:rPr>
                <w:sz w:val="24"/>
              </w:rPr>
              <w:t>England</w:t>
            </w:r>
            <w:r>
              <w:rPr>
                <w:spacing w:val="-1"/>
                <w:sz w:val="24"/>
              </w:rPr>
              <w:t> </w:t>
            </w:r>
            <w:r>
              <w:rPr>
                <w:sz w:val="24"/>
              </w:rPr>
              <w:t>Medical </w:t>
            </w:r>
            <w:r>
              <w:rPr>
                <w:spacing w:val="-4"/>
                <w:sz w:val="24"/>
              </w:rPr>
              <w:t>Group</w:t>
            </w:r>
          </w:p>
        </w:tc>
        <w:tc>
          <w:tcPr>
            <w:tcW w:w="3925" w:type="dxa"/>
          </w:tcPr>
          <w:p>
            <w:pPr>
              <w:pStyle w:val="TableParagraph"/>
              <w:ind w:left="257" w:right="51" w:firstLine="45"/>
              <w:jc w:val="right"/>
              <w:rPr>
                <w:b/>
                <w:i/>
                <w:sz w:val="24"/>
              </w:rPr>
            </w:pPr>
            <w:r>
              <w:rPr>
                <w:b/>
                <w:i/>
                <w:sz w:val="24"/>
              </w:rPr>
              <w:t>To</w:t>
            </w:r>
            <w:r>
              <w:rPr>
                <w:b/>
                <w:i/>
                <w:spacing w:val="-7"/>
                <w:sz w:val="24"/>
              </w:rPr>
              <w:t> </w:t>
            </w:r>
            <w:r>
              <w:rPr>
                <w:b/>
                <w:i/>
                <w:sz w:val="24"/>
              </w:rPr>
              <w:t>be</w:t>
            </w:r>
            <w:r>
              <w:rPr>
                <w:b/>
                <w:i/>
                <w:spacing w:val="-8"/>
                <w:sz w:val="24"/>
              </w:rPr>
              <w:t> </w:t>
            </w:r>
            <w:r>
              <w:rPr>
                <w:b/>
                <w:i/>
                <w:sz w:val="24"/>
              </w:rPr>
              <w:t>reviewed</w:t>
            </w:r>
            <w:r>
              <w:rPr>
                <w:b/>
                <w:i/>
                <w:spacing w:val="-6"/>
                <w:sz w:val="24"/>
              </w:rPr>
              <w:t> </w:t>
            </w:r>
            <w:r>
              <w:rPr>
                <w:b/>
                <w:i/>
                <w:sz w:val="24"/>
              </w:rPr>
              <w:t>every</w:t>
            </w:r>
            <w:r>
              <w:rPr>
                <w:b/>
                <w:i/>
                <w:spacing w:val="-8"/>
                <w:sz w:val="24"/>
              </w:rPr>
              <w:t> </w:t>
            </w:r>
            <w:r>
              <w:rPr>
                <w:b/>
                <w:i/>
                <w:sz w:val="24"/>
              </w:rPr>
              <w:t>three</w:t>
            </w:r>
            <w:r>
              <w:rPr>
                <w:b/>
                <w:i/>
                <w:spacing w:val="-8"/>
                <w:sz w:val="24"/>
              </w:rPr>
              <w:t> </w:t>
            </w:r>
            <w:r>
              <w:rPr>
                <w:b/>
                <w:i/>
                <w:sz w:val="24"/>
              </w:rPr>
              <w:t>years</w:t>
            </w:r>
            <w:r>
              <w:rPr>
                <w:b/>
                <w:i/>
                <w:spacing w:val="-7"/>
                <w:sz w:val="24"/>
              </w:rPr>
              <w:t> </w:t>
            </w:r>
            <w:r>
              <w:rPr>
                <w:b/>
                <w:i/>
                <w:sz w:val="24"/>
              </w:rPr>
              <w:t>by:</w:t>
            </w:r>
            <w:r>
              <w:rPr>
                <w:b/>
                <w:i/>
                <w:sz w:val="24"/>
              </w:rPr>
              <w:t> Trinity</w:t>
            </w:r>
            <w:r>
              <w:rPr>
                <w:b/>
                <w:i/>
                <w:spacing w:val="-2"/>
                <w:sz w:val="24"/>
              </w:rPr>
              <w:t> </w:t>
            </w:r>
            <w:r>
              <w:rPr>
                <w:b/>
                <w:i/>
                <w:sz w:val="24"/>
              </w:rPr>
              <w:t>Health</w:t>
            </w:r>
            <w:r>
              <w:rPr>
                <w:b/>
                <w:i/>
                <w:spacing w:val="1"/>
                <w:sz w:val="24"/>
              </w:rPr>
              <w:t> </w:t>
            </w:r>
            <w:r>
              <w:rPr>
                <w:b/>
                <w:i/>
                <w:sz w:val="24"/>
              </w:rPr>
              <w:t>Of</w:t>
            </w:r>
            <w:r>
              <w:rPr>
                <w:b/>
                <w:i/>
                <w:spacing w:val="-2"/>
                <w:sz w:val="24"/>
              </w:rPr>
              <w:t> </w:t>
            </w:r>
            <w:r>
              <w:rPr>
                <w:b/>
                <w:i/>
                <w:sz w:val="24"/>
              </w:rPr>
              <w:t>New</w:t>
            </w:r>
            <w:r>
              <w:rPr>
                <w:b/>
                <w:i/>
                <w:spacing w:val="-1"/>
                <w:sz w:val="24"/>
              </w:rPr>
              <w:t> </w:t>
            </w:r>
            <w:r>
              <w:rPr>
                <w:b/>
                <w:i/>
                <w:sz w:val="24"/>
              </w:rPr>
              <w:t>England</w:t>
            </w:r>
            <w:r>
              <w:rPr>
                <w:b/>
                <w:i/>
                <w:spacing w:val="60"/>
                <w:sz w:val="24"/>
              </w:rPr>
              <w:t> </w:t>
            </w:r>
            <w:r>
              <w:rPr>
                <w:b/>
                <w:i/>
                <w:spacing w:val="-5"/>
                <w:sz w:val="24"/>
              </w:rPr>
              <w:t>HR</w:t>
            </w:r>
          </w:p>
          <w:p>
            <w:pPr>
              <w:pStyle w:val="TableParagraph"/>
              <w:ind w:left="0" w:right="49"/>
              <w:jc w:val="right"/>
              <w:rPr>
                <w:b/>
                <w:i/>
                <w:sz w:val="24"/>
              </w:rPr>
            </w:pPr>
            <w:r>
              <w:rPr>
                <w:b/>
                <w:i/>
                <w:sz w:val="24"/>
              </w:rPr>
              <w:t>Leadership</w:t>
            </w:r>
            <w:r>
              <w:rPr>
                <w:b/>
                <w:i/>
                <w:spacing w:val="-4"/>
                <w:sz w:val="24"/>
              </w:rPr>
              <w:t> Team</w:t>
            </w:r>
          </w:p>
          <w:p>
            <w:pPr>
              <w:pStyle w:val="TableParagraph"/>
              <w:spacing w:before="264"/>
              <w:ind w:left="2780" w:right="48" w:hanging="72"/>
              <w:jc w:val="right"/>
              <w:rPr>
                <w:b/>
                <w:sz w:val="24"/>
              </w:rPr>
            </w:pPr>
            <w:r>
              <w:rPr>
                <w:b/>
                <w:sz w:val="24"/>
              </w:rPr>
              <w:t>Review</w:t>
            </w:r>
            <w:r>
              <w:rPr>
                <w:b/>
                <w:spacing w:val="-15"/>
                <w:sz w:val="24"/>
              </w:rPr>
              <w:t> </w:t>
            </w:r>
            <w:r>
              <w:rPr>
                <w:b/>
                <w:sz w:val="24"/>
              </w:rPr>
              <w:t>By: </w:t>
            </w:r>
            <w:r>
              <w:rPr>
                <w:b/>
                <w:spacing w:val="-2"/>
                <w:sz w:val="24"/>
              </w:rPr>
              <w:t>11/30/2022</w:t>
            </w:r>
          </w:p>
        </w:tc>
      </w:tr>
    </w:tbl>
    <w:p>
      <w:pPr>
        <w:pStyle w:val="BodyText"/>
        <w:rPr>
          <w:b/>
          <w:sz w:val="20"/>
        </w:rPr>
      </w:pPr>
    </w:p>
    <w:p>
      <w:pPr>
        <w:pStyle w:val="BodyText"/>
        <w:spacing w:before="88"/>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896416</wp:posOffset>
                </wp:positionH>
                <wp:positionV relativeFrom="paragraph">
                  <wp:posOffset>217733</wp:posOffset>
                </wp:positionV>
                <wp:extent cx="5752465" cy="2794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52465" cy="27940"/>
                        </a:xfrm>
                        <a:custGeom>
                          <a:avLst/>
                          <a:gdLst/>
                          <a:ahLst/>
                          <a:cxnLst/>
                          <a:rect l="l" t="t" r="r" b="b"/>
                          <a:pathLst>
                            <a:path w="5752465" h="27940">
                              <a:moveTo>
                                <a:pt x="5752465" y="0"/>
                              </a:moveTo>
                              <a:lnTo>
                                <a:pt x="0" y="0"/>
                              </a:lnTo>
                              <a:lnTo>
                                <a:pt x="0" y="27432"/>
                              </a:lnTo>
                              <a:lnTo>
                                <a:pt x="5752465" y="27432"/>
                              </a:lnTo>
                              <a:lnTo>
                                <a:pt x="5752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7.144337pt;width:452.95pt;height:2.16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BodyText"/>
        <w:spacing w:before="3"/>
        <w:rPr>
          <w:b/>
        </w:rPr>
      </w:pPr>
    </w:p>
    <w:p>
      <w:pPr>
        <w:pStyle w:val="Heading1"/>
      </w:pPr>
      <w:r>
        <w:rPr>
          <w:spacing w:val="-2"/>
        </w:rPr>
        <w:t>PURPOSE</w:t>
      </w:r>
    </w:p>
    <w:p>
      <w:pPr>
        <w:pStyle w:val="BodyText"/>
        <w:spacing w:before="235"/>
        <w:ind w:left="360" w:right="365"/>
        <w:jc w:val="both"/>
      </w:pPr>
      <w:r>
        <w:rPr/>
        <w:t>To provide Employees paid time away from work during times of bereavement of the death of Immediate Family Members or a parent’s loss of a pregnancy.</w:t>
      </w:r>
    </w:p>
    <w:p>
      <w:pPr>
        <w:pStyle w:val="Heading1"/>
        <w:spacing w:before="245"/>
      </w:pPr>
      <w:r>
        <w:rPr>
          <w:spacing w:val="-2"/>
        </w:rPr>
        <w:t>POLICY</w:t>
      </w:r>
    </w:p>
    <w:p>
      <w:pPr>
        <w:pStyle w:val="Heading2"/>
        <w:spacing w:before="240"/>
        <w:jc w:val="both"/>
      </w:pPr>
      <w:r>
        <w:rPr>
          <w:u w:val="single"/>
        </w:rPr>
        <w:t>Application</w:t>
      </w:r>
      <w:r>
        <w:rPr>
          <w:spacing w:val="-1"/>
          <w:u w:val="single"/>
        </w:rPr>
        <w:t> </w:t>
      </w:r>
      <w:r>
        <w:rPr>
          <w:u w:val="single"/>
        </w:rPr>
        <w:t>of</w:t>
      </w:r>
      <w:r>
        <w:rPr>
          <w:spacing w:val="-1"/>
          <w:u w:val="single"/>
        </w:rPr>
        <w:t> </w:t>
      </w:r>
      <w:r>
        <w:rPr>
          <w:spacing w:val="-2"/>
          <w:u w:val="single"/>
        </w:rPr>
        <w:t>Policy</w:t>
      </w:r>
    </w:p>
    <w:p>
      <w:pPr>
        <w:pStyle w:val="BodyText"/>
        <w:spacing w:before="235"/>
        <w:ind w:left="360" w:right="355"/>
        <w:jc w:val="both"/>
      </w:pPr>
      <w:r>
        <w:rPr/>
        <w:t>This Policy generally applies to all regular full-time and regular part-time benefits eligible Employees of Trinity Health Of New England (THOfNE), as defined in THOfNE Employment Classification Policy, unless specifically excluded by the terms of a collective bargaining agreement or the Employees have employment contracts or agreements that provide for a different bereavement leave benefit.</w:t>
      </w:r>
      <w:r>
        <w:rPr>
          <w:spacing w:val="40"/>
        </w:rPr>
        <w:t>  </w:t>
      </w:r>
      <w:r>
        <w:rPr/>
        <w:t>If coverage under this Policy for additional Employees is required by</w:t>
      </w:r>
      <w:r>
        <w:rPr>
          <w:spacing w:val="-5"/>
        </w:rPr>
        <w:t> </w:t>
      </w:r>
      <w:r>
        <w:rPr/>
        <w:t>applicable</w:t>
      </w:r>
      <w:r>
        <w:rPr>
          <w:spacing w:val="-1"/>
        </w:rPr>
        <w:t> </w:t>
      </w:r>
      <w:r>
        <w:rPr/>
        <w:t>law,</w:t>
      </w:r>
      <w:r>
        <w:rPr>
          <w:spacing w:val="-1"/>
        </w:rPr>
        <w:t> </w:t>
      </w:r>
      <w:r>
        <w:rPr/>
        <w:t>this Policy</w:t>
      </w:r>
      <w:r>
        <w:rPr>
          <w:spacing w:val="-8"/>
        </w:rPr>
        <w:t> </w:t>
      </w:r>
      <w:r>
        <w:rPr/>
        <w:t>also applies to the</w:t>
      </w:r>
      <w:r>
        <w:rPr>
          <w:spacing w:val="-1"/>
        </w:rPr>
        <w:t> </w:t>
      </w:r>
      <w:r>
        <w:rPr/>
        <w:t>Employees for whom coverage is required.</w:t>
      </w:r>
      <w:r>
        <w:rPr>
          <w:spacing w:val="40"/>
        </w:rPr>
        <w:t> </w:t>
      </w:r>
      <w:r>
        <w:rPr/>
        <w:t>Benefits eligibility for purposes of this Policy is determined in accordance with Human Resources System Wide Procedure No. 101 (Eligibility for Coverage under the Trinity Health Corporation Welfare Benefit Plan).</w:t>
      </w:r>
    </w:p>
    <w:p>
      <w:pPr>
        <w:pStyle w:val="Heading2"/>
        <w:spacing w:before="244"/>
        <w:jc w:val="both"/>
      </w:pPr>
      <w:r>
        <w:rPr>
          <w:u w:val="single"/>
        </w:rPr>
        <w:t>Bereavement</w:t>
      </w:r>
      <w:r>
        <w:rPr>
          <w:spacing w:val="-3"/>
          <w:u w:val="single"/>
        </w:rPr>
        <w:t> </w:t>
      </w:r>
      <w:r>
        <w:rPr>
          <w:u w:val="single"/>
        </w:rPr>
        <w:t>Leave</w:t>
      </w:r>
      <w:r>
        <w:rPr>
          <w:spacing w:val="-3"/>
          <w:u w:val="single"/>
        </w:rPr>
        <w:t> </w:t>
      </w:r>
      <w:r>
        <w:rPr>
          <w:spacing w:val="-2"/>
          <w:u w:val="single"/>
        </w:rPr>
        <w:t>Benefit</w:t>
      </w:r>
    </w:p>
    <w:p>
      <w:pPr>
        <w:pStyle w:val="BodyText"/>
        <w:spacing w:before="235"/>
        <w:ind w:left="360" w:right="357"/>
        <w:jc w:val="both"/>
      </w:pPr>
      <w:r>
        <w:rPr/>
        <w:t>Employees are eligible for a bereavement leave benefit as of their date of hire by THOfNE and there is no eligibility waiting period.</w:t>
      </w:r>
      <w:r>
        <w:rPr>
          <w:spacing w:val="40"/>
        </w:rPr>
        <w:t> </w:t>
      </w:r>
      <w:r>
        <w:rPr/>
        <w:t>A bereavement leave benefit will be paid at the Employee’s current base hourly rate of pay, exclusive of overtime, premium pay, shift differential, bonus, incentive pay, etc.</w:t>
      </w:r>
    </w:p>
    <w:p>
      <w:pPr>
        <w:pStyle w:val="BodyText"/>
        <w:spacing w:after="0"/>
        <w:jc w:val="both"/>
        <w:sectPr>
          <w:type w:val="continuous"/>
          <w:pgSz w:w="12240" w:h="15840"/>
          <w:pgMar w:top="720" w:bottom="280" w:left="1080" w:right="1440"/>
        </w:sectPr>
      </w:pPr>
    </w:p>
    <w:p>
      <w:pPr>
        <w:pStyle w:val="BodyText"/>
        <w:spacing w:before="72"/>
        <w:ind w:left="360" w:right="355"/>
        <w:jc w:val="both"/>
      </w:pPr>
      <w:r>
        <w:rPr/>
        <w:t>Eligible Employees may receive up to three (3) paid days off from regularly scheduled work duty as a bereavement leave benefit in the event of the death of an Immediate Family Member or a parent’s loss of a pregnancy.</w:t>
      </w:r>
      <w:r>
        <w:rPr>
          <w:spacing w:val="80"/>
        </w:rPr>
        <w:t> </w:t>
      </w:r>
      <w:r>
        <w:rPr/>
        <w:t>If an Employee leaves work early on the day he</w:t>
      </w:r>
      <w:r>
        <w:rPr>
          <w:spacing w:val="40"/>
        </w:rPr>
        <w:t> </w:t>
      </w:r>
      <w:r>
        <w:rPr/>
        <w:t>or she is notified of the death or a parent’s loss of a pregnancy, that day will not count as bereavement leave.</w:t>
      </w:r>
      <w:r>
        <w:rPr>
          <w:spacing w:val="40"/>
        </w:rPr>
        <w:t> </w:t>
      </w:r>
      <w:r>
        <w:rPr/>
        <w:t>The bereavement leave benefit does not need to be taken consecutively but is generally expected to be taken within one year following the death of the Immediate Family Member or a parent’s loss of a pregnancy.</w:t>
      </w:r>
    </w:p>
    <w:p>
      <w:pPr>
        <w:pStyle w:val="BodyText"/>
      </w:pPr>
    </w:p>
    <w:p>
      <w:pPr>
        <w:pStyle w:val="BodyText"/>
        <w:ind w:left="360" w:right="357"/>
        <w:jc w:val="both"/>
      </w:pPr>
      <w:r>
        <w:rPr/>
        <w:t>An Employee who wishes to take time off due to the death of an Immediate Family Member or a parent’s loss of a pregnancy must notify his or her supervisor, manager or other individual who</w:t>
      </w:r>
      <w:r>
        <w:rPr>
          <w:spacing w:val="-1"/>
        </w:rPr>
        <w:t> </w:t>
      </w:r>
      <w:r>
        <w:rPr/>
        <w:t>is responsible</w:t>
      </w:r>
      <w:r>
        <w:rPr>
          <w:spacing w:val="-1"/>
        </w:rPr>
        <w:t> </w:t>
      </w:r>
      <w:r>
        <w:rPr/>
        <w:t>for approving work absences for the Employee’s</w:t>
      </w:r>
      <w:r>
        <w:rPr>
          <w:spacing w:val="-1"/>
        </w:rPr>
        <w:t> </w:t>
      </w:r>
      <w:r>
        <w:rPr/>
        <w:t>department as soon as possible.</w:t>
      </w:r>
      <w:r>
        <w:rPr>
          <w:spacing w:val="40"/>
        </w:rPr>
        <w:t> </w:t>
      </w:r>
      <w:r>
        <w:rPr/>
        <w:t>In addition to the bereavement leave benefit, an Employee may, with the approval of his or her manager, supervisor other individual who is responsible for approving work absences for the Employee’s department, use additional paid time off (“PTO”)</w:t>
      </w:r>
      <w:r>
        <w:rPr>
          <w:spacing w:val="40"/>
        </w:rPr>
        <w:t> </w:t>
      </w:r>
      <w:r>
        <w:rPr/>
        <w:t>available as necessary and/or may apply for an elective leave, as applicable.</w:t>
      </w:r>
    </w:p>
    <w:p>
      <w:pPr>
        <w:pStyle w:val="BodyText"/>
        <w:spacing w:before="1"/>
      </w:pPr>
    </w:p>
    <w:p>
      <w:pPr>
        <w:pStyle w:val="BodyText"/>
        <w:ind w:left="360" w:right="355"/>
        <w:jc w:val="both"/>
      </w:pPr>
      <w:r>
        <w:rPr/>
        <w:t>If the need for bereavement leave benefit occurs while an Employee is using PTO during a leave of absence due to vacation, during the elimination period for short term disability benefits for a self-health condition, for a self-health condition where no short term disability benefits are</w:t>
      </w:r>
      <w:r>
        <w:rPr>
          <w:spacing w:val="-1"/>
        </w:rPr>
        <w:t> </w:t>
      </w:r>
      <w:r>
        <w:rPr/>
        <w:t>payable, due to a family</w:t>
      </w:r>
      <w:r>
        <w:rPr>
          <w:spacing w:val="-4"/>
        </w:rPr>
        <w:t> </w:t>
      </w:r>
      <w:r>
        <w:rPr/>
        <w:t>member’s health condition, for</w:t>
      </w:r>
      <w:r>
        <w:rPr>
          <w:spacing w:val="-1"/>
        </w:rPr>
        <w:t> </w:t>
      </w:r>
      <w:r>
        <w:rPr/>
        <w:t>baby</w:t>
      </w:r>
      <w:r>
        <w:rPr>
          <w:spacing w:val="-4"/>
        </w:rPr>
        <w:t> </w:t>
      </w:r>
      <w:r>
        <w:rPr/>
        <w:t>bonding</w:t>
      </w:r>
      <w:r>
        <w:rPr>
          <w:spacing w:val="-1"/>
        </w:rPr>
        <w:t> </w:t>
      </w:r>
      <w:r>
        <w:rPr/>
        <w:t>or elective leave, the Employee will receive a bereavement leave benefit instead of using PTO hours for that day or days.</w:t>
      </w:r>
    </w:p>
    <w:p>
      <w:pPr>
        <w:pStyle w:val="BodyText"/>
        <w:spacing w:before="240"/>
        <w:ind w:left="360" w:right="358"/>
        <w:jc w:val="both"/>
      </w:pPr>
      <w:r>
        <w:rPr/>
        <w:t>If</w:t>
      </w:r>
      <w:r>
        <w:rPr>
          <w:spacing w:val="-1"/>
        </w:rPr>
        <w:t> </w:t>
      </w:r>
      <w:r>
        <w:rPr/>
        <w:t>the</w:t>
      </w:r>
      <w:r>
        <w:rPr>
          <w:spacing w:val="-1"/>
        </w:rPr>
        <w:t> </w:t>
      </w:r>
      <w:r>
        <w:rPr/>
        <w:t>need for</w:t>
      </w:r>
      <w:r>
        <w:rPr>
          <w:spacing w:val="-2"/>
        </w:rPr>
        <w:t> </w:t>
      </w:r>
      <w:r>
        <w:rPr/>
        <w:t>bereavement leave</w:t>
      </w:r>
      <w:r>
        <w:rPr>
          <w:spacing w:val="-1"/>
        </w:rPr>
        <w:t> </w:t>
      </w:r>
      <w:r>
        <w:rPr/>
        <w:t>occurs</w:t>
      </w:r>
      <w:r>
        <w:rPr>
          <w:spacing w:val="-1"/>
        </w:rPr>
        <w:t> </w:t>
      </w:r>
      <w:r>
        <w:rPr/>
        <w:t>while</w:t>
      </w:r>
      <w:r>
        <w:rPr>
          <w:spacing w:val="-1"/>
        </w:rPr>
        <w:t> </w:t>
      </w:r>
      <w:r>
        <w:rPr/>
        <w:t>an Employee</w:t>
      </w:r>
      <w:r>
        <w:rPr>
          <w:spacing w:val="-1"/>
        </w:rPr>
        <w:t> </w:t>
      </w:r>
      <w:r>
        <w:rPr/>
        <w:t>is on a</w:t>
      </w:r>
      <w:r>
        <w:rPr>
          <w:spacing w:val="-1"/>
        </w:rPr>
        <w:t> </w:t>
      </w:r>
      <w:r>
        <w:rPr/>
        <w:t>leave of</w:t>
      </w:r>
      <w:r>
        <w:rPr>
          <w:spacing w:val="-1"/>
        </w:rPr>
        <w:t> </w:t>
      </w:r>
      <w:r>
        <w:rPr/>
        <w:t>absence</w:t>
      </w:r>
      <w:r>
        <w:rPr>
          <w:spacing w:val="-1"/>
        </w:rPr>
        <w:t> </w:t>
      </w:r>
      <w:r>
        <w:rPr/>
        <w:t>due</w:t>
      </w:r>
      <w:r>
        <w:rPr>
          <w:spacing w:val="-1"/>
        </w:rPr>
        <w:t> </w:t>
      </w:r>
      <w:r>
        <w:rPr/>
        <w:t>to a self-health condition and is receiving short term disability benefits (even if the Employee is supplementing the short term disability benefits with PTO), salary continuation, long-term disability benefits, state paid disability benefits, state paid family leave benefits (self-health</w:t>
      </w:r>
      <w:r>
        <w:rPr>
          <w:spacing w:val="40"/>
        </w:rPr>
        <w:t> </w:t>
      </w:r>
      <w:r>
        <w:rPr/>
        <w:t>or family-health condition) or workers’ compensation, the Employee will </w:t>
      </w:r>
      <w:r>
        <w:rPr>
          <w:u w:val="single"/>
        </w:rPr>
        <w:t>not</w:t>
      </w:r>
      <w:r>
        <w:rPr>
          <w:u w:val="none"/>
        </w:rPr>
        <w:t> receive a bereavement leave benefit for all or any day during the leave of absence.</w:t>
      </w:r>
      <w:r>
        <w:rPr>
          <w:spacing w:val="40"/>
          <w:u w:val="none"/>
        </w:rPr>
        <w:t> </w:t>
      </w:r>
      <w:r>
        <w:rPr>
          <w:u w:val="none"/>
        </w:rPr>
        <w:t>In addition, a bereavement leave benefit will not be paid during any unpaid leave of absence.</w:t>
      </w:r>
    </w:p>
    <w:p>
      <w:pPr>
        <w:pStyle w:val="BodyText"/>
        <w:spacing w:before="5"/>
      </w:pPr>
    </w:p>
    <w:p>
      <w:pPr>
        <w:pStyle w:val="Heading1"/>
      </w:pPr>
      <w:r>
        <w:rPr>
          <w:spacing w:val="-2"/>
        </w:rPr>
        <w:t>PROCEDURES</w:t>
      </w:r>
    </w:p>
    <w:p>
      <w:pPr>
        <w:pStyle w:val="BodyText"/>
        <w:spacing w:before="271"/>
        <w:ind w:left="360" w:right="359"/>
        <w:jc w:val="both"/>
      </w:pPr>
      <w:r>
        <w:rPr/>
        <w:t>The Trinity Health Corporation (“Trinity Health”) Human Resources Department is responsible for establishing, implementing and enforcing Procedures, Standards or</w:t>
      </w:r>
      <w:r>
        <w:rPr>
          <w:spacing w:val="40"/>
        </w:rPr>
        <w:t> </w:t>
      </w:r>
      <w:r>
        <w:rPr/>
        <w:t>Guidelines to be followed in the implementation and application of this Policy.</w:t>
      </w:r>
    </w:p>
    <w:p>
      <w:pPr>
        <w:pStyle w:val="BodyText"/>
        <w:spacing w:before="5"/>
      </w:pPr>
    </w:p>
    <w:p>
      <w:pPr>
        <w:pStyle w:val="Heading1"/>
        <w:spacing w:before="0"/>
      </w:pPr>
      <w:r>
        <w:rPr>
          <w:spacing w:val="-2"/>
        </w:rPr>
        <w:t>SCOPE/APPLICABILITY</w:t>
      </w:r>
    </w:p>
    <w:p>
      <w:pPr>
        <w:pStyle w:val="BodyText"/>
        <w:spacing w:before="271"/>
        <w:ind w:left="360" w:right="353"/>
        <w:jc w:val="both"/>
      </w:pPr>
      <w:r>
        <w:rPr/>
        <w:t>This Policy is intended to generally apply to all regular full-time and regular part-time benefits eligible Employees of THOfNE and is the implementation of Trinity Health Human Resources</w:t>
      </w:r>
      <w:r>
        <w:rPr>
          <w:spacing w:val="-1"/>
        </w:rPr>
        <w:t> </w:t>
      </w:r>
      <w:r>
        <w:rPr/>
        <w:t>Mirror</w:t>
      </w:r>
      <w:r>
        <w:rPr>
          <w:spacing w:val="-2"/>
        </w:rPr>
        <w:t> </w:t>
      </w:r>
      <w:r>
        <w:rPr/>
        <w:t>Policy</w:t>
      </w:r>
      <w:r>
        <w:rPr>
          <w:spacing w:val="-6"/>
        </w:rPr>
        <w:t> </w:t>
      </w:r>
      <w:r>
        <w:rPr/>
        <w:t>No.</w:t>
      </w:r>
      <w:r>
        <w:rPr>
          <w:spacing w:val="-2"/>
        </w:rPr>
        <w:t> </w:t>
      </w:r>
      <w:r>
        <w:rPr/>
        <w:t>12 (Bereavement Leave</w:t>
      </w:r>
      <w:r>
        <w:rPr>
          <w:spacing w:val="-2"/>
        </w:rPr>
        <w:t> </w:t>
      </w:r>
      <w:r>
        <w:rPr/>
        <w:t>Benefit).</w:t>
      </w:r>
      <w:r>
        <w:rPr>
          <w:spacing w:val="40"/>
        </w:rPr>
        <w:t> </w:t>
      </w:r>
      <w:r>
        <w:rPr/>
        <w:t>Trinity</w:t>
      </w:r>
      <w:r>
        <w:rPr>
          <w:spacing w:val="-6"/>
        </w:rPr>
        <w:t> </w:t>
      </w:r>
      <w:r>
        <w:rPr/>
        <w:t>Health</w:t>
      </w:r>
      <w:r>
        <w:rPr>
          <w:spacing w:val="-1"/>
        </w:rPr>
        <w:t> </w:t>
      </w:r>
      <w:r>
        <w:rPr/>
        <w:t>and</w:t>
      </w:r>
      <w:r>
        <w:rPr>
          <w:spacing w:val="-1"/>
        </w:rPr>
        <w:t> </w:t>
      </w:r>
      <w:r>
        <w:rPr/>
        <w:t>each other Ministry and Subsidiary shall adopt Trinity Health Human Resources Mirror Policy No. 12, subject to any modifications necessary to comply with applicable state and local laws and regulations, accreditation requirements or otherwise and that are approved by the Trinity Health EVP, Chief Human Resources Officer or his or her designee, in consultation with the Trinity</w:t>
      </w:r>
      <w:r>
        <w:rPr>
          <w:spacing w:val="44"/>
        </w:rPr>
        <w:t> </w:t>
      </w:r>
      <w:r>
        <w:rPr/>
        <w:t>Health</w:t>
      </w:r>
      <w:r>
        <w:rPr>
          <w:spacing w:val="54"/>
        </w:rPr>
        <w:t> </w:t>
      </w:r>
      <w:r>
        <w:rPr/>
        <w:t>Legal</w:t>
      </w:r>
      <w:r>
        <w:rPr>
          <w:spacing w:val="52"/>
        </w:rPr>
        <w:t> </w:t>
      </w:r>
      <w:r>
        <w:rPr/>
        <w:t>Department</w:t>
      </w:r>
      <w:r>
        <w:rPr>
          <w:spacing w:val="55"/>
        </w:rPr>
        <w:t> </w:t>
      </w:r>
      <w:r>
        <w:rPr/>
        <w:t>as</w:t>
      </w:r>
      <w:r>
        <w:rPr>
          <w:spacing w:val="51"/>
        </w:rPr>
        <w:t> </w:t>
      </w:r>
      <w:r>
        <w:rPr/>
        <w:t>necessary.</w:t>
      </w:r>
      <w:r>
        <w:rPr>
          <w:spacing w:val="54"/>
          <w:w w:val="150"/>
        </w:rPr>
        <w:t>  </w:t>
      </w:r>
      <w:r>
        <w:rPr/>
        <w:t>For</w:t>
      </w:r>
      <w:r>
        <w:rPr>
          <w:spacing w:val="51"/>
        </w:rPr>
        <w:t> </w:t>
      </w:r>
      <w:r>
        <w:rPr/>
        <w:t>purposes</w:t>
      </w:r>
      <w:r>
        <w:rPr>
          <w:spacing w:val="54"/>
        </w:rPr>
        <w:t> </w:t>
      </w:r>
      <w:r>
        <w:rPr/>
        <w:t>of</w:t>
      </w:r>
      <w:r>
        <w:rPr>
          <w:spacing w:val="50"/>
        </w:rPr>
        <w:t> </w:t>
      </w:r>
      <w:r>
        <w:rPr/>
        <w:t>Trinity</w:t>
      </w:r>
      <w:r>
        <w:rPr>
          <w:spacing w:val="47"/>
        </w:rPr>
        <w:t> </w:t>
      </w:r>
      <w:r>
        <w:rPr/>
        <w:t>Health</w:t>
      </w:r>
      <w:r>
        <w:rPr>
          <w:spacing w:val="52"/>
        </w:rPr>
        <w:t> </w:t>
      </w:r>
      <w:r>
        <w:rPr>
          <w:spacing w:val="-2"/>
        </w:rPr>
        <w:t>Human</w:t>
      </w:r>
    </w:p>
    <w:p>
      <w:pPr>
        <w:pStyle w:val="BodyText"/>
        <w:spacing w:after="0"/>
        <w:jc w:val="both"/>
        <w:sectPr>
          <w:footerReference w:type="default" r:id="rId6"/>
          <w:pgSz w:w="12240" w:h="15840"/>
          <w:pgMar w:header="0" w:footer="659" w:top="1360" w:bottom="840" w:left="1080" w:right="1440"/>
          <w:pgNumType w:start="2"/>
        </w:sectPr>
      </w:pPr>
    </w:p>
    <w:p>
      <w:pPr>
        <w:pStyle w:val="BodyText"/>
        <w:spacing w:before="72"/>
        <w:ind w:left="360" w:right="358"/>
        <w:jc w:val="both"/>
      </w:pPr>
      <w:r>
        <w:rPr/>
        <w:t>Resources Mirror Policy No. 12, the Trinity Health, Vice President, Total Rewards Health &amp; Well-Being has been delegated authority to approve such modifications.</w:t>
      </w:r>
    </w:p>
    <w:p>
      <w:pPr>
        <w:pStyle w:val="Heading1"/>
        <w:spacing w:before="5"/>
      </w:pPr>
      <w:r>
        <w:rPr>
          <w:spacing w:val="-2"/>
        </w:rPr>
        <w:t>DEFINITIONS</w:t>
      </w:r>
    </w:p>
    <w:p>
      <w:pPr>
        <w:pStyle w:val="BodyText"/>
        <w:spacing w:before="235"/>
        <w:ind w:left="360" w:right="353"/>
        <w:jc w:val="both"/>
      </w:pPr>
      <w:r>
        <w:rPr>
          <w:b/>
        </w:rPr>
        <w:t>Employee </w:t>
      </w:r>
      <w:r>
        <w:rPr/>
        <w:t>means an employee of Trinity Health or one of its Ministries or Subsidiaries, whether that individual’s status is permanent or temporary, or part- or full-time.</w:t>
      </w:r>
      <w:r>
        <w:rPr>
          <w:spacing w:val="40"/>
        </w:rPr>
        <w:t> </w:t>
      </w:r>
      <w:r>
        <w:rPr/>
        <w:t>Medical residents are not Employees for purposes of this Policy.</w:t>
      </w:r>
    </w:p>
    <w:p>
      <w:pPr>
        <w:pStyle w:val="BodyText"/>
      </w:pPr>
    </w:p>
    <w:p>
      <w:pPr>
        <w:spacing w:before="0"/>
        <w:ind w:left="360" w:right="359" w:firstLine="0"/>
        <w:jc w:val="both"/>
        <w:rPr>
          <w:sz w:val="24"/>
        </w:rPr>
      </w:pPr>
      <w:r>
        <w:rPr>
          <w:b/>
          <w:sz w:val="24"/>
        </w:rPr>
        <w:t>Executive Leadership Team (“ELT”) </w:t>
      </w:r>
      <w:r>
        <w:rPr>
          <w:sz w:val="24"/>
        </w:rPr>
        <w:t>means the group that is composed of the highest</w:t>
      </w:r>
      <w:r>
        <w:rPr>
          <w:spacing w:val="40"/>
          <w:sz w:val="24"/>
        </w:rPr>
        <w:t> </w:t>
      </w:r>
      <w:r>
        <w:rPr>
          <w:sz w:val="24"/>
        </w:rPr>
        <w:t>level of management at Trinity Health.</w:t>
      </w:r>
    </w:p>
    <w:p>
      <w:pPr>
        <w:pStyle w:val="BodyText"/>
      </w:pPr>
    </w:p>
    <w:p>
      <w:pPr>
        <w:pStyle w:val="BodyText"/>
        <w:ind w:left="360" w:right="355"/>
        <w:jc w:val="both"/>
      </w:pPr>
      <w:r>
        <w:rPr>
          <w:b/>
        </w:rPr>
        <w:t>Immediate Family Member </w:t>
      </w:r>
      <w:r>
        <w:rPr/>
        <w:t>means an Employee’s spouse, son, step-son, daughter, step-daughter, legal ward, mother, step-mother, father, step-father, brother, half-brother, step-brother, sister, half-sister, step-sister, mother-in-law, father-in-law, sister-in-law, brother-in-law, son-in-law, daughter-in-law, grandparents (including great), grandparents-in-law, grandchildren, grandchildren-in-law, step-grandparents, step-grandchildren, or another</w:t>
      </w:r>
      <w:r>
        <w:rPr>
          <w:spacing w:val="40"/>
        </w:rPr>
        <w:t> </w:t>
      </w:r>
      <w:r>
        <w:rPr/>
        <w:t>person residing in the same household as the Employee.</w:t>
      </w:r>
    </w:p>
    <w:p>
      <w:pPr>
        <w:pStyle w:val="BodyText"/>
        <w:spacing w:before="1"/>
      </w:pPr>
    </w:p>
    <w:p>
      <w:pPr>
        <w:pStyle w:val="BodyText"/>
        <w:ind w:left="360" w:right="358"/>
        <w:jc w:val="both"/>
      </w:pPr>
      <w:r>
        <w:rPr>
          <w:b/>
        </w:rPr>
        <w:t>Ministry </w:t>
      </w:r>
      <w:r>
        <w:rPr/>
        <w:t>means a first tier (direct) Subsidiary, affiliate, or operating division of Trinity Health that maintains a governing body that has day-to-day management oversight of a designated portion of Trinity Health System operations.</w:t>
      </w:r>
      <w:r>
        <w:rPr>
          <w:spacing w:val="40"/>
        </w:rPr>
        <w:t> </w:t>
      </w:r>
      <w:r>
        <w:rPr/>
        <w:t>A Ministry may be based on a geographic market or dedication to a service line or business.</w:t>
      </w:r>
      <w:r>
        <w:rPr>
          <w:spacing w:val="40"/>
        </w:rPr>
        <w:t> </w:t>
      </w:r>
      <w:r>
        <w:rPr/>
        <w:t>Ministries include Mission Health Ministries, National Health Ministries, and Regional Health Ministries.</w:t>
      </w:r>
    </w:p>
    <w:p>
      <w:pPr>
        <w:pStyle w:val="BodyText"/>
      </w:pPr>
    </w:p>
    <w:p>
      <w:pPr>
        <w:pStyle w:val="BodyText"/>
        <w:ind w:left="360" w:right="355"/>
        <w:jc w:val="both"/>
      </w:pPr>
      <w:r>
        <w:rPr>
          <w:b/>
        </w:rPr>
        <w:t>Mission Health Ministry (“MHM”) </w:t>
      </w:r>
      <w:r>
        <w:rPr/>
        <w:t>means a first tier (direct) Subsidiary of Trinity Health that maintains a governing body and which has oversight of non-institutional health operations and/or grant making.</w:t>
      </w:r>
    </w:p>
    <w:p>
      <w:pPr>
        <w:pStyle w:val="BodyText"/>
      </w:pPr>
    </w:p>
    <w:p>
      <w:pPr>
        <w:pStyle w:val="BodyText"/>
        <w:spacing w:before="1"/>
        <w:ind w:left="360" w:right="357"/>
        <w:jc w:val="both"/>
      </w:pPr>
      <w:r>
        <w:rPr>
          <w:b/>
        </w:rPr>
        <w:t>National Health Ministry (“NHM”) </w:t>
      </w:r>
      <w:r>
        <w:rPr/>
        <w:t>means a first tier (direct) Subsidiary that maintains a governing body that has day-to-day management oversight of a business line throughout the Trinity Health System.</w:t>
      </w:r>
    </w:p>
    <w:p>
      <w:pPr>
        <w:pStyle w:val="BodyText"/>
      </w:pPr>
    </w:p>
    <w:p>
      <w:pPr>
        <w:pStyle w:val="BodyText"/>
        <w:ind w:left="360" w:right="357"/>
        <w:jc w:val="both"/>
      </w:pPr>
      <w:r>
        <w:rPr>
          <w:b/>
        </w:rPr>
        <w:t>Policy </w:t>
      </w:r>
      <w:r>
        <w:rPr/>
        <w:t>means a</w:t>
      </w:r>
      <w:r>
        <w:rPr>
          <w:spacing w:val="-1"/>
        </w:rPr>
        <w:t> </w:t>
      </w:r>
      <w:r>
        <w:rPr/>
        <w:t>statement of</w:t>
      </w:r>
      <w:r>
        <w:rPr>
          <w:spacing w:val="-1"/>
        </w:rPr>
        <w:t> </w:t>
      </w:r>
      <w:r>
        <w:rPr/>
        <w:t>high-level direction on matters of</w:t>
      </w:r>
      <w:r>
        <w:rPr>
          <w:spacing w:val="-1"/>
        </w:rPr>
        <w:t> </w:t>
      </w:r>
      <w:r>
        <w:rPr/>
        <w:t>strategic</w:t>
      </w:r>
      <w:r>
        <w:rPr>
          <w:spacing w:val="-1"/>
        </w:rPr>
        <w:t> </w:t>
      </w:r>
      <w:r>
        <w:rPr/>
        <w:t>importance</w:t>
      </w:r>
      <w:r>
        <w:rPr>
          <w:spacing w:val="-1"/>
        </w:rPr>
        <w:t> </w:t>
      </w:r>
      <w:r>
        <w:rPr/>
        <w:t>to Trinity Health, a Ministry and/or a Subsidiary or a statement that further interprets to Trinity Health’s, a Ministry’s and/or a Subsidiary’s governing documents.</w:t>
      </w:r>
    </w:p>
    <w:p>
      <w:pPr>
        <w:pStyle w:val="BodyText"/>
        <w:spacing w:before="240"/>
        <w:ind w:left="360" w:right="365"/>
        <w:jc w:val="both"/>
      </w:pPr>
      <w:r>
        <w:rPr>
          <w:b/>
        </w:rPr>
        <w:t>Procedure </w:t>
      </w:r>
      <w:r>
        <w:rPr/>
        <w:t>means a document designed to implement a Policy or a description of specific required actions or processes.</w:t>
      </w:r>
    </w:p>
    <w:p>
      <w:pPr>
        <w:pStyle w:val="BodyText"/>
        <w:spacing w:before="240"/>
        <w:ind w:left="360" w:right="353"/>
        <w:jc w:val="both"/>
      </w:pPr>
      <w:r>
        <w:rPr>
          <w:b/>
        </w:rPr>
        <w:t>Regional Health Ministry (“RHM”) </w:t>
      </w:r>
      <w:r>
        <w:rPr/>
        <w:t>means a first tier (direct) Subsidiary, affiliate or operating division of Trinity Health that maintains a governing body that has day-to-day management oversight of a designated portion of Trinity Health operations within a geographic market.</w:t>
      </w:r>
    </w:p>
    <w:p>
      <w:pPr>
        <w:pStyle w:val="BodyText"/>
      </w:pPr>
    </w:p>
    <w:p>
      <w:pPr>
        <w:pStyle w:val="BodyText"/>
        <w:spacing w:before="1"/>
        <w:ind w:left="360" w:right="358"/>
        <w:jc w:val="both"/>
      </w:pPr>
      <w:r>
        <w:rPr>
          <w:b/>
        </w:rPr>
        <w:t>Standards or Guidelines </w:t>
      </w:r>
      <w:r>
        <w:rPr/>
        <w:t>mean additional instructions and guidance which assist in implementing Procedures, including those developed by accreditation or professional </w:t>
      </w:r>
      <w:r>
        <w:rPr>
          <w:spacing w:val="-2"/>
        </w:rPr>
        <w:t>organizations.</w:t>
      </w:r>
    </w:p>
    <w:p>
      <w:pPr>
        <w:pStyle w:val="BodyText"/>
        <w:spacing w:after="0"/>
        <w:jc w:val="both"/>
        <w:sectPr>
          <w:pgSz w:w="12240" w:h="15840"/>
          <w:pgMar w:header="0" w:footer="659" w:top="1360" w:bottom="840" w:left="1080" w:right="1440"/>
        </w:sectPr>
      </w:pPr>
    </w:p>
    <w:p>
      <w:pPr>
        <w:pStyle w:val="BodyText"/>
        <w:spacing w:before="68"/>
        <w:ind w:left="360"/>
      </w:pPr>
      <w:r>
        <w:rPr>
          <w:b/>
        </w:rPr>
        <w:t>Subsidiary</w:t>
      </w:r>
      <w:r>
        <w:rPr>
          <w:b/>
          <w:spacing w:val="40"/>
        </w:rPr>
        <w:t> </w:t>
      </w:r>
      <w:r>
        <w:rPr/>
        <w:t>means</w:t>
      </w:r>
      <w:r>
        <w:rPr>
          <w:spacing w:val="37"/>
        </w:rPr>
        <w:t> </w:t>
      </w:r>
      <w:r>
        <w:rPr/>
        <w:t>a</w:t>
      </w:r>
      <w:r>
        <w:rPr>
          <w:spacing w:val="36"/>
        </w:rPr>
        <w:t> </w:t>
      </w:r>
      <w:r>
        <w:rPr/>
        <w:t>legal</w:t>
      </w:r>
      <w:r>
        <w:rPr>
          <w:spacing w:val="38"/>
        </w:rPr>
        <w:t> </w:t>
      </w:r>
      <w:r>
        <w:rPr/>
        <w:t>entity</w:t>
      </w:r>
      <w:r>
        <w:rPr>
          <w:spacing w:val="31"/>
        </w:rPr>
        <w:t> </w:t>
      </w:r>
      <w:r>
        <w:rPr/>
        <w:t>in</w:t>
      </w:r>
      <w:r>
        <w:rPr>
          <w:spacing w:val="38"/>
        </w:rPr>
        <w:t> </w:t>
      </w:r>
      <w:r>
        <w:rPr/>
        <w:t>which</w:t>
      </w:r>
      <w:r>
        <w:rPr>
          <w:spacing w:val="37"/>
        </w:rPr>
        <w:t> </w:t>
      </w:r>
      <w:r>
        <w:rPr/>
        <w:t>a</w:t>
      </w:r>
      <w:r>
        <w:rPr>
          <w:spacing w:val="36"/>
        </w:rPr>
        <w:t> </w:t>
      </w:r>
      <w:r>
        <w:rPr/>
        <w:t>Trinity</w:t>
      </w:r>
      <w:r>
        <w:rPr>
          <w:spacing w:val="31"/>
        </w:rPr>
        <w:t> </w:t>
      </w:r>
      <w:r>
        <w:rPr/>
        <w:t>Health</w:t>
      </w:r>
      <w:r>
        <w:rPr>
          <w:spacing w:val="37"/>
        </w:rPr>
        <w:t> </w:t>
      </w:r>
      <w:r>
        <w:rPr/>
        <w:t>Ministry</w:t>
      </w:r>
      <w:r>
        <w:rPr>
          <w:spacing w:val="31"/>
        </w:rPr>
        <w:t> </w:t>
      </w:r>
      <w:r>
        <w:rPr/>
        <w:t>is</w:t>
      </w:r>
      <w:r>
        <w:rPr>
          <w:spacing w:val="38"/>
        </w:rPr>
        <w:t> </w:t>
      </w:r>
      <w:r>
        <w:rPr/>
        <w:t>the</w:t>
      </w:r>
      <w:r>
        <w:rPr>
          <w:spacing w:val="37"/>
        </w:rPr>
        <w:t> </w:t>
      </w:r>
      <w:r>
        <w:rPr/>
        <w:t>sole</w:t>
      </w:r>
      <w:r>
        <w:rPr>
          <w:spacing w:val="37"/>
        </w:rPr>
        <w:t> </w:t>
      </w:r>
      <w:r>
        <w:rPr/>
        <w:t>corporate member or sole shareholder.</w:t>
      </w:r>
    </w:p>
    <w:p>
      <w:pPr>
        <w:pStyle w:val="Heading1"/>
        <w:spacing w:before="5"/>
      </w:pPr>
      <w:r>
        <w:rPr/>
        <w:t>RESPONSIBLE</w:t>
      </w:r>
      <w:r>
        <w:rPr>
          <w:spacing w:val="-3"/>
        </w:rPr>
        <w:t> </w:t>
      </w:r>
      <w:r>
        <w:rPr>
          <w:spacing w:val="-2"/>
        </w:rPr>
        <w:t>DEPARTMENT</w:t>
      </w:r>
    </w:p>
    <w:p>
      <w:pPr>
        <w:pStyle w:val="BodyText"/>
        <w:spacing w:before="235"/>
        <w:ind w:left="360"/>
        <w:rPr>
          <w:i/>
        </w:rPr>
      </w:pPr>
      <w:r>
        <w:rPr/>
        <w:t>Further</w:t>
      </w:r>
      <w:r>
        <w:rPr>
          <w:spacing w:val="37"/>
        </w:rPr>
        <w:t> </w:t>
      </w:r>
      <w:r>
        <w:rPr/>
        <w:t>guidance</w:t>
      </w:r>
      <w:r>
        <w:rPr>
          <w:spacing w:val="32"/>
        </w:rPr>
        <w:t> </w:t>
      </w:r>
      <w:r>
        <w:rPr/>
        <w:t>concerning</w:t>
      </w:r>
      <w:r>
        <w:rPr>
          <w:spacing w:val="31"/>
        </w:rPr>
        <w:t> </w:t>
      </w:r>
      <w:r>
        <w:rPr/>
        <w:t>this</w:t>
      </w:r>
      <w:r>
        <w:rPr>
          <w:spacing w:val="34"/>
        </w:rPr>
        <w:t> </w:t>
      </w:r>
      <w:r>
        <w:rPr/>
        <w:t>Policy</w:t>
      </w:r>
      <w:r>
        <w:rPr>
          <w:spacing w:val="28"/>
        </w:rPr>
        <w:t> </w:t>
      </w:r>
      <w:r>
        <w:rPr/>
        <w:t>may</w:t>
      </w:r>
      <w:r>
        <w:rPr>
          <w:spacing w:val="31"/>
        </w:rPr>
        <w:t> </w:t>
      </w:r>
      <w:r>
        <w:rPr/>
        <w:t>be</w:t>
      </w:r>
      <w:r>
        <w:rPr>
          <w:spacing w:val="34"/>
        </w:rPr>
        <w:t> </w:t>
      </w:r>
      <w:r>
        <w:rPr/>
        <w:t>obtained</w:t>
      </w:r>
      <w:r>
        <w:rPr>
          <w:spacing w:val="33"/>
        </w:rPr>
        <w:t> </w:t>
      </w:r>
      <w:r>
        <w:rPr/>
        <w:t>from</w:t>
      </w:r>
      <w:r>
        <w:rPr>
          <w:spacing w:val="40"/>
        </w:rPr>
        <w:t> </w:t>
      </w:r>
      <w:r>
        <w:rPr/>
        <w:t>the</w:t>
      </w:r>
      <w:r>
        <w:rPr>
          <w:spacing w:val="33"/>
        </w:rPr>
        <w:t> </w:t>
      </w:r>
      <w:r>
        <w:rPr/>
        <w:t>Trinity</w:t>
      </w:r>
      <w:r>
        <w:rPr>
          <w:spacing w:val="28"/>
        </w:rPr>
        <w:t> </w:t>
      </w:r>
      <w:r>
        <w:rPr/>
        <w:t>Health</w:t>
      </w:r>
      <w:r>
        <w:rPr>
          <w:spacing w:val="33"/>
        </w:rPr>
        <w:t> </w:t>
      </w:r>
      <w:r>
        <w:rPr/>
        <w:t>Human Resources Department</w:t>
      </w:r>
      <w:r>
        <w:rPr>
          <w:i/>
        </w:rPr>
        <w:t>.</w:t>
      </w:r>
    </w:p>
    <w:p>
      <w:pPr>
        <w:pStyle w:val="Heading1"/>
        <w:spacing w:before="245"/>
      </w:pPr>
      <w:r>
        <w:rPr/>
        <w:t>RELATED</w:t>
      </w:r>
      <w:r>
        <w:rPr>
          <w:spacing w:val="-2"/>
        </w:rPr>
        <w:t> </w:t>
      </w:r>
      <w:r>
        <w:rPr/>
        <w:t>POLICIES,</w:t>
      </w:r>
      <w:r>
        <w:rPr>
          <w:spacing w:val="-4"/>
        </w:rPr>
        <w:t> </w:t>
      </w:r>
      <w:r>
        <w:rPr/>
        <w:t>PROCEDURES</w:t>
      </w:r>
      <w:r>
        <w:rPr>
          <w:spacing w:val="-2"/>
        </w:rPr>
        <w:t> </w:t>
      </w:r>
      <w:r>
        <w:rPr/>
        <w:t>AND OTHER</w:t>
      </w:r>
      <w:r>
        <w:rPr>
          <w:spacing w:val="-1"/>
        </w:rPr>
        <w:t> </w:t>
      </w:r>
      <w:r>
        <w:rPr>
          <w:spacing w:val="-2"/>
        </w:rPr>
        <w:t>MATERIALS</w:t>
      </w:r>
    </w:p>
    <w:p>
      <w:pPr>
        <w:pStyle w:val="ListParagraph"/>
        <w:numPr>
          <w:ilvl w:val="0"/>
          <w:numId w:val="1"/>
        </w:numPr>
        <w:tabs>
          <w:tab w:pos="1080" w:val="left" w:leader="none"/>
        </w:tabs>
        <w:spacing w:line="240" w:lineRule="auto" w:before="273" w:after="0"/>
        <w:ind w:left="1080" w:right="0" w:hanging="360"/>
        <w:jc w:val="left"/>
        <w:rPr>
          <w:sz w:val="24"/>
        </w:rPr>
      </w:pPr>
      <w:r>
        <w:rPr>
          <w:sz w:val="24"/>
        </w:rPr>
        <w:t>THOfNE</w:t>
      </w:r>
      <w:r>
        <w:rPr>
          <w:spacing w:val="-4"/>
          <w:sz w:val="24"/>
        </w:rPr>
        <w:t> </w:t>
      </w:r>
      <w:r>
        <w:rPr>
          <w:sz w:val="24"/>
        </w:rPr>
        <w:t>Employment</w:t>
      </w:r>
      <w:r>
        <w:rPr>
          <w:spacing w:val="-2"/>
          <w:sz w:val="24"/>
        </w:rPr>
        <w:t> </w:t>
      </w:r>
      <w:r>
        <w:rPr>
          <w:sz w:val="24"/>
        </w:rPr>
        <w:t>Classification </w:t>
      </w:r>
      <w:r>
        <w:rPr>
          <w:spacing w:val="-2"/>
          <w:sz w:val="24"/>
        </w:rPr>
        <w:t>Policy</w:t>
      </w:r>
    </w:p>
    <w:p>
      <w:pPr>
        <w:pStyle w:val="ListParagraph"/>
        <w:numPr>
          <w:ilvl w:val="0"/>
          <w:numId w:val="1"/>
        </w:numPr>
        <w:tabs>
          <w:tab w:pos="1080" w:val="left" w:leader="none"/>
        </w:tabs>
        <w:spacing w:line="237" w:lineRule="auto" w:before="241" w:after="0"/>
        <w:ind w:left="1080" w:right="361" w:hanging="360"/>
        <w:jc w:val="left"/>
        <w:rPr>
          <w:sz w:val="24"/>
        </w:rPr>
      </w:pPr>
      <w:r>
        <w:rPr>
          <w:sz w:val="24"/>
        </w:rPr>
        <w:t>Human Resources System Wide Procedure No. 101 (Eligibility for Coverage Under the Trinity Health Corporation Welfare Benefit Plan)</w:t>
      </w:r>
    </w:p>
    <w:p>
      <w:pPr>
        <w:pStyle w:val="BodyText"/>
      </w:pPr>
    </w:p>
    <w:p>
      <w:pPr>
        <w:pStyle w:val="BodyText"/>
        <w:spacing w:before="246"/>
      </w:pPr>
    </w:p>
    <w:p>
      <w:pPr>
        <w:tabs>
          <w:tab w:pos="4248" w:val="left" w:leader="none"/>
          <w:tab w:pos="6308" w:val="left" w:leader="none"/>
        </w:tabs>
        <w:spacing w:line="475" w:lineRule="auto" w:before="0"/>
        <w:ind w:left="360" w:right="3409" w:firstLine="0"/>
        <w:jc w:val="left"/>
        <w:rPr>
          <w:sz w:val="24"/>
        </w:rPr>
      </w:pPr>
      <w:r>
        <w:rPr>
          <w:sz w:val="24"/>
        </w:rPr>
        <w:drawing>
          <wp:anchor distT="0" distB="0" distL="0" distR="0" allowOverlap="1" layoutInCell="1" locked="0" behindDoc="1" simplePos="0" relativeHeight="487520256">
            <wp:simplePos x="0" y="0"/>
            <wp:positionH relativeFrom="page">
              <wp:posOffset>2056372</wp:posOffset>
            </wp:positionH>
            <wp:positionV relativeFrom="paragraph">
              <wp:posOffset>-143902</wp:posOffset>
            </wp:positionV>
            <wp:extent cx="1135721" cy="337558"/>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1135721" cy="337558"/>
                    </a:xfrm>
                    <a:prstGeom prst="rect">
                      <a:avLst/>
                    </a:prstGeom>
                  </pic:spPr>
                </pic:pic>
              </a:graphicData>
            </a:graphic>
          </wp:anchor>
        </w:drawing>
      </w:r>
      <w:r>
        <w:rPr>
          <w:b/>
          <w:sz w:val="24"/>
        </w:rPr>
        <w:t>APPROVALS: </w:t>
      </w:r>
      <w:r>
        <w:rPr>
          <w:b/>
          <w:sz w:val="24"/>
          <w:u w:val="single"/>
        </w:rPr>
        <w:tab/>
        <w:t>December 1, 2019</w:t>
        <w:tab/>
      </w:r>
      <w:r>
        <w:rPr>
          <w:b/>
          <w:sz w:val="24"/>
          <w:u w:val="none"/>
        </w:rPr>
        <w:t> Initial Approval: </w:t>
      </w:r>
      <w:r>
        <w:rPr>
          <w:sz w:val="24"/>
          <w:u w:val="none"/>
        </w:rPr>
        <w:t>August2019</w:t>
      </w:r>
    </w:p>
    <w:p>
      <w:pPr>
        <w:tabs>
          <w:tab w:pos="7649" w:val="left" w:leader="none"/>
        </w:tabs>
        <w:spacing w:before="6"/>
        <w:ind w:left="360" w:right="0" w:firstLine="0"/>
        <w:jc w:val="left"/>
        <w:rPr>
          <w:b/>
          <w:sz w:val="24"/>
        </w:rPr>
      </w:pPr>
      <w:r>
        <w:rPr>
          <w:b/>
          <w:sz w:val="24"/>
        </w:rPr>
        <w:t>Subsequent Review/Revision(s):</w:t>
      </w:r>
      <w:r>
        <w:rPr>
          <w:b/>
          <w:spacing w:val="61"/>
          <w:sz w:val="24"/>
        </w:rPr>
        <w:t> </w:t>
      </w:r>
      <w:r>
        <w:rPr>
          <w:b/>
          <w:sz w:val="24"/>
          <w:u w:val="single"/>
        </w:rPr>
        <w:tab/>
      </w:r>
    </w:p>
    <w:sectPr>
      <w:pgSz w:w="12240" w:h="15840"/>
      <w:pgMar w:header="0" w:footer="659" w:top="1640" w:bottom="84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9232">
              <wp:simplePos x="0" y="0"/>
              <wp:positionH relativeFrom="page">
                <wp:posOffset>902004</wp:posOffset>
              </wp:positionH>
              <wp:positionV relativeFrom="page">
                <wp:posOffset>9500165</wp:posOffset>
              </wp:positionV>
              <wp:extent cx="281241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812415" cy="165735"/>
                      </a:xfrm>
                      <a:prstGeom prst="rect">
                        <a:avLst/>
                      </a:prstGeom>
                    </wps:spPr>
                    <wps:txbx>
                      <w:txbxContent>
                        <w:p>
                          <w:pPr>
                            <w:spacing w:before="10"/>
                            <w:ind w:left="20" w:right="0" w:firstLine="0"/>
                            <w:jc w:val="left"/>
                            <w:rPr>
                              <w:sz w:val="20"/>
                            </w:rPr>
                          </w:pPr>
                          <w:r>
                            <w:rPr>
                              <w:sz w:val="20"/>
                            </w:rPr>
                            <w:t>Trinity</w:t>
                          </w:r>
                          <w:r>
                            <w:rPr>
                              <w:spacing w:val="-8"/>
                              <w:sz w:val="20"/>
                            </w:rPr>
                            <w:t> </w:t>
                          </w:r>
                          <w:r>
                            <w:rPr>
                              <w:sz w:val="20"/>
                            </w:rPr>
                            <w:t>Health</w:t>
                          </w:r>
                          <w:r>
                            <w:rPr>
                              <w:spacing w:val="-5"/>
                              <w:sz w:val="20"/>
                            </w:rPr>
                            <w:t> </w:t>
                          </w:r>
                          <w:r>
                            <w:rPr>
                              <w:sz w:val="20"/>
                            </w:rPr>
                            <w:t>Human</w:t>
                          </w:r>
                          <w:r>
                            <w:rPr>
                              <w:spacing w:val="-5"/>
                              <w:sz w:val="20"/>
                            </w:rPr>
                            <w:t> </w:t>
                          </w:r>
                          <w:r>
                            <w:rPr>
                              <w:sz w:val="20"/>
                            </w:rPr>
                            <w:t>Resources</w:t>
                          </w:r>
                          <w:r>
                            <w:rPr>
                              <w:spacing w:val="-5"/>
                              <w:sz w:val="20"/>
                            </w:rPr>
                            <w:t> </w:t>
                          </w:r>
                          <w:r>
                            <w:rPr>
                              <w:sz w:val="20"/>
                            </w:rPr>
                            <w:t>Mirror</w:t>
                          </w:r>
                          <w:r>
                            <w:rPr>
                              <w:spacing w:val="-1"/>
                              <w:sz w:val="20"/>
                            </w:rPr>
                            <w:t> </w:t>
                          </w:r>
                          <w:r>
                            <w:rPr>
                              <w:sz w:val="20"/>
                            </w:rPr>
                            <w:t>Policy</w:t>
                          </w:r>
                          <w:r>
                            <w:rPr>
                              <w:spacing w:val="-8"/>
                              <w:sz w:val="20"/>
                            </w:rPr>
                            <w:t> </w:t>
                          </w:r>
                          <w:r>
                            <w:rPr>
                              <w:sz w:val="20"/>
                            </w:rPr>
                            <w:t>No.</w:t>
                          </w:r>
                          <w:r>
                            <w:rPr>
                              <w:spacing w:val="-3"/>
                              <w:sz w:val="20"/>
                            </w:rPr>
                            <w:t> </w:t>
                          </w:r>
                          <w:r>
                            <w:rPr>
                              <w:spacing w:val="-5"/>
                              <w:sz w:val="20"/>
                            </w:rPr>
                            <w:t>12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48.044495pt;width:221.45pt;height:13.05pt;mso-position-horizontal-relative:page;mso-position-vertical-relative:page;z-index:-15797248" type="#_x0000_t202" id="docshape3" filled="false" stroked="false">
              <v:textbox inset="0,0,0,0">
                <w:txbxContent>
                  <w:p>
                    <w:pPr>
                      <w:spacing w:before="10"/>
                      <w:ind w:left="20" w:right="0" w:firstLine="0"/>
                      <w:jc w:val="left"/>
                      <w:rPr>
                        <w:sz w:val="20"/>
                      </w:rPr>
                    </w:pPr>
                    <w:r>
                      <w:rPr>
                        <w:sz w:val="20"/>
                      </w:rPr>
                      <w:t>Trinity</w:t>
                    </w:r>
                    <w:r>
                      <w:rPr>
                        <w:spacing w:val="-8"/>
                        <w:sz w:val="20"/>
                      </w:rPr>
                      <w:t> </w:t>
                    </w:r>
                    <w:r>
                      <w:rPr>
                        <w:sz w:val="20"/>
                      </w:rPr>
                      <w:t>Health</w:t>
                    </w:r>
                    <w:r>
                      <w:rPr>
                        <w:spacing w:val="-5"/>
                        <w:sz w:val="20"/>
                      </w:rPr>
                      <w:t> </w:t>
                    </w:r>
                    <w:r>
                      <w:rPr>
                        <w:sz w:val="20"/>
                      </w:rPr>
                      <w:t>Human</w:t>
                    </w:r>
                    <w:r>
                      <w:rPr>
                        <w:spacing w:val="-5"/>
                        <w:sz w:val="20"/>
                      </w:rPr>
                      <w:t> </w:t>
                    </w:r>
                    <w:r>
                      <w:rPr>
                        <w:sz w:val="20"/>
                      </w:rPr>
                      <w:t>Resources</w:t>
                    </w:r>
                    <w:r>
                      <w:rPr>
                        <w:spacing w:val="-5"/>
                        <w:sz w:val="20"/>
                      </w:rPr>
                      <w:t> </w:t>
                    </w:r>
                    <w:r>
                      <w:rPr>
                        <w:sz w:val="20"/>
                      </w:rPr>
                      <w:t>Mirror</w:t>
                    </w:r>
                    <w:r>
                      <w:rPr>
                        <w:spacing w:val="-1"/>
                        <w:sz w:val="20"/>
                      </w:rPr>
                      <w:t> </w:t>
                    </w:r>
                    <w:r>
                      <w:rPr>
                        <w:sz w:val="20"/>
                      </w:rPr>
                      <w:t>Policy</w:t>
                    </w:r>
                    <w:r>
                      <w:rPr>
                        <w:spacing w:val="-8"/>
                        <w:sz w:val="20"/>
                      </w:rPr>
                      <w:t> </w:t>
                    </w:r>
                    <w:r>
                      <w:rPr>
                        <w:sz w:val="20"/>
                      </w:rPr>
                      <w:t>No.</w:t>
                    </w:r>
                    <w:r>
                      <w:rPr>
                        <w:spacing w:val="-3"/>
                        <w:sz w:val="20"/>
                      </w:rPr>
                      <w:t> </w:t>
                    </w:r>
                    <w:r>
                      <w:rPr>
                        <w:spacing w:val="-5"/>
                        <w:sz w:val="20"/>
                      </w:rPr>
                      <w:t>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9744">
              <wp:simplePos x="0" y="0"/>
              <wp:positionH relativeFrom="page">
                <wp:posOffset>6503669</wp:posOffset>
              </wp:positionH>
              <wp:positionV relativeFrom="page">
                <wp:posOffset>9500165</wp:posOffset>
              </wp:positionV>
              <wp:extent cx="405765"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5765"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12.099976pt;margin-top:748.044495pt;width:31.95pt;height:13.05pt;mso-position-horizontal-relative:page;mso-position-vertical-relative:page;z-index:-15796736" type="#_x0000_t202" id="docshape4"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3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41"/>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2026-01-13T13:33:47Z</dcterms:created>
  <dcterms:modified xsi:type="dcterms:W3CDTF">2026-01-13T13:33:47Z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ies>
</file>