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0089C8F5" w14:textId="4084C9A5" w:rsidR="00C96B24" w:rsidRPr="003E1C39" w:rsidRDefault="0002269F" w:rsidP="00C96B24">
            <w:pPr>
              <w:pStyle w:val="NoSpacing"/>
              <w:rPr>
                <w:b/>
              </w:rPr>
            </w:pPr>
            <w:r w:rsidRPr="004B3221">
              <w:rPr>
                <w:b/>
              </w:rPr>
              <w:t>Policy Title</w:t>
            </w:r>
            <w:r w:rsidR="004B3221">
              <w:rPr>
                <w:b/>
              </w:rPr>
              <w:t>:</w:t>
            </w:r>
            <w:r w:rsidR="00921029">
              <w:rPr>
                <w:b/>
              </w:rPr>
              <w:t xml:space="preserve"> </w:t>
            </w:r>
            <w:r w:rsidR="00CF7EC1">
              <w:rPr>
                <w:b/>
              </w:rPr>
              <w:t>Sponsoring Institution Resident Appointment Policy</w:t>
            </w:r>
            <w:r w:rsidR="003E1C39">
              <w:rPr>
                <w:b/>
              </w:rPr>
              <w:t xml:space="preserve"> </w:t>
            </w:r>
          </w:p>
        </w:tc>
        <w:tc>
          <w:tcPr>
            <w:tcW w:w="4765" w:type="dxa"/>
          </w:tcPr>
          <w:p w14:paraId="0089C8F6" w14:textId="7E62BD98" w:rsidR="00D228B4" w:rsidRPr="004B3221" w:rsidRDefault="00127FA1" w:rsidP="00127FA1">
            <w:pPr>
              <w:pStyle w:val="NoSpacing"/>
              <w:rPr>
                <w:b/>
                <w:szCs w:val="24"/>
              </w:rPr>
            </w:pPr>
            <w:r>
              <w:rPr>
                <w:b/>
                <w:szCs w:val="24"/>
              </w:rPr>
              <w:t xml:space="preserve">     </w:t>
            </w:r>
            <w:r w:rsidR="00C96B24" w:rsidRPr="004B3221">
              <w:rPr>
                <w:b/>
                <w:szCs w:val="24"/>
              </w:rPr>
              <w:t>Effective Date:</w:t>
            </w:r>
            <w:r w:rsidR="00921029">
              <w:rPr>
                <w:b/>
                <w:szCs w:val="24"/>
              </w:rPr>
              <w:t xml:space="preserve"> </w:t>
            </w:r>
          </w:p>
          <w:p w14:paraId="0089C8F7" w14:textId="69847883" w:rsidR="00C96B24" w:rsidRPr="004B3221" w:rsidRDefault="00C96B24" w:rsidP="00C96B24">
            <w:pPr>
              <w:pStyle w:val="NoSpacing"/>
              <w:jc w:val="right"/>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053C33FC"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Content>
                <w:r w:rsidR="003E1C39">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4933186C"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1"/>
                  <w14:checkedState w14:val="2612" w14:font="MS Gothic"/>
                  <w14:uncheckedState w14:val="2610" w14:font="MS Gothic"/>
                </w14:checkbox>
              </w:sdtPr>
              <w:sdtContent>
                <w:r w:rsidR="00127FA1">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1E8F3B13"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Content>
                <w:r w:rsidR="003E1C39">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3E070D52" w:rsidR="00C96B24" w:rsidRPr="004B3221" w:rsidRDefault="00C96B24" w:rsidP="00127FA1">
            <w:pPr>
              <w:pStyle w:val="NoSpacing"/>
              <w:rPr>
                <w14:textOutline w14:w="9525" w14:cap="rnd" w14:cmpd="sng" w14:algn="ctr">
                  <w14:noFill/>
                  <w14:prstDash w14:val="solid"/>
                  <w14:bevel/>
                </w14:textOutline>
              </w:rPr>
            </w:pPr>
            <w:r w:rsidRPr="004B3221">
              <w:rPr>
                <w:b/>
                <w:i/>
                <w:szCs w:val="24"/>
              </w:rPr>
              <w:t xml:space="preserve">To be reviewed </w:t>
            </w:r>
            <w:r w:rsidR="008802DD">
              <w:rPr>
                <w:b/>
                <w:i/>
                <w:szCs w:val="24"/>
              </w:rPr>
              <w:t>annually</w:t>
            </w:r>
            <w:r w:rsidRPr="004B3221">
              <w:rPr>
                <w:b/>
                <w:i/>
                <w:szCs w:val="24"/>
              </w:rPr>
              <w:t xml:space="preserve"> by:</w:t>
            </w:r>
          </w:p>
          <w:p w14:paraId="0089C903" w14:textId="359A4CD6" w:rsidR="00C96B24" w:rsidRPr="004B3221" w:rsidRDefault="00C96B24" w:rsidP="00C96B24">
            <w:pPr>
              <w:jc w:val="right"/>
              <w:rPr>
                <w:i/>
                <w:szCs w:val="24"/>
              </w:rPr>
            </w:pPr>
          </w:p>
          <w:p w14:paraId="0089C905" w14:textId="009BE3BB" w:rsidR="00C96B24" w:rsidRPr="004B3221" w:rsidRDefault="00C96B24" w:rsidP="00DE3A3F">
            <w:pPr>
              <w:pStyle w:val="NoSpacing"/>
              <w:rPr>
                <w14:textOutline w14:w="9525" w14:cap="rnd" w14:cmpd="sng" w14:algn="ctr">
                  <w14:noFill/>
                  <w14:prstDash w14:val="solid"/>
                  <w14:bevel/>
                </w14:textOutline>
              </w:rPr>
            </w:pPr>
            <w:r w:rsidRPr="004B3221">
              <w:rPr>
                <w:b/>
                <w:szCs w:val="24"/>
              </w:rPr>
              <w:t>Review By:</w:t>
            </w:r>
            <w:r w:rsidR="00921029">
              <w:rPr>
                <w:b/>
                <w:szCs w:val="24"/>
              </w:rPr>
              <w:t xml:space="preserve"> </w:t>
            </w:r>
          </w:p>
        </w:tc>
      </w:tr>
    </w:tbl>
    <w:p w14:paraId="0089C907" w14:textId="77777777" w:rsidR="006337E7" w:rsidRPr="004B3221" w:rsidRDefault="006337E7" w:rsidP="0040291F">
      <w:pPr>
        <w:pStyle w:val="CommentText"/>
        <w:pBdr>
          <w:bottom w:val="single" w:sz="18" w:space="0" w:color="auto"/>
        </w:pBdr>
        <w:jc w:val="left"/>
        <w:rPr>
          <w:b/>
          <w:i/>
          <w:szCs w:val="24"/>
        </w:rPr>
      </w:pPr>
    </w:p>
    <w:p w14:paraId="44136624" w14:textId="41389316" w:rsidR="007D56E7" w:rsidRDefault="007D56E7" w:rsidP="00921029">
      <w:pPr>
        <w:pStyle w:val="NoSpacing"/>
        <w:rPr>
          <w:b/>
          <w:bCs/>
        </w:rPr>
      </w:pPr>
      <w:r w:rsidRPr="00921029">
        <w:rPr>
          <w:b/>
          <w:bCs/>
        </w:rPr>
        <w:t>PURPOSE</w:t>
      </w:r>
      <w:r w:rsidR="003E1C39">
        <w:rPr>
          <w:b/>
          <w:bCs/>
        </w:rPr>
        <w:t xml:space="preserve">:  </w:t>
      </w:r>
    </w:p>
    <w:p w14:paraId="04744AF6" w14:textId="66D69DB9" w:rsidR="001B0D8B" w:rsidRDefault="001B0D8B" w:rsidP="001B0D8B">
      <w:r>
        <w:t>To establish institutional standards and processes for resident recruitment, selection, eligibility verification, appointment, and pre-interview disclosures, consistent with ACGME Institutional Requirements, Common Program Requirements. The Sponsoring Institution will monitor all ACGME-accredited programs for compliance.</w:t>
      </w:r>
    </w:p>
    <w:p w14:paraId="134F39ED" w14:textId="372D07E9" w:rsidR="009901AF" w:rsidRDefault="009901AF" w:rsidP="009901AF">
      <w:pPr>
        <w:pStyle w:val="NoSpacing"/>
        <w:rPr>
          <w:b/>
          <w:bCs/>
        </w:rPr>
      </w:pPr>
      <w:r>
        <w:rPr>
          <w:b/>
          <w:bCs/>
        </w:rPr>
        <w:t>DEFINITIONS:</w:t>
      </w:r>
    </w:p>
    <w:p w14:paraId="62289EAD" w14:textId="77777777" w:rsidR="00916BF5" w:rsidRDefault="00E50EFF" w:rsidP="00916BF5">
      <w:pPr>
        <w:pStyle w:val="NoSpacing"/>
        <w:numPr>
          <w:ilvl w:val="0"/>
          <w:numId w:val="22"/>
        </w:numPr>
        <w:jc w:val="left"/>
      </w:pPr>
      <w:r w:rsidRPr="00E50EFF">
        <w:rPr>
          <w:b/>
          <w:bCs/>
        </w:rPr>
        <w:t>ACGME</w:t>
      </w:r>
      <w:r>
        <w:t>-accredited program: A residency or fellowship program accredited by the Accreditation Council for Graduate Medical Education.</w:t>
      </w:r>
    </w:p>
    <w:p w14:paraId="2BE019F4" w14:textId="36602F45" w:rsidR="00916BF5" w:rsidRDefault="00E50EFF" w:rsidP="00916BF5">
      <w:pPr>
        <w:pStyle w:val="NoSpacing"/>
        <w:numPr>
          <w:ilvl w:val="0"/>
          <w:numId w:val="22"/>
        </w:numPr>
        <w:jc w:val="left"/>
      </w:pPr>
      <w:r w:rsidRPr="00E50EFF">
        <w:rPr>
          <w:b/>
          <w:bCs/>
        </w:rPr>
        <w:t>Applicant</w:t>
      </w:r>
      <w:r>
        <w:t>: An individual who submits an application for consideration for a resident position.</w:t>
      </w:r>
    </w:p>
    <w:p w14:paraId="5C4339DB" w14:textId="230244A8" w:rsidR="00916BF5" w:rsidRDefault="00E50EFF" w:rsidP="00916BF5">
      <w:pPr>
        <w:pStyle w:val="NoSpacing"/>
        <w:numPr>
          <w:ilvl w:val="0"/>
          <w:numId w:val="22"/>
        </w:numPr>
        <w:jc w:val="left"/>
      </w:pPr>
      <w:r w:rsidRPr="00E50EFF">
        <w:rPr>
          <w:b/>
          <w:bCs/>
        </w:rPr>
        <w:t>Appointment</w:t>
      </w:r>
      <w:r>
        <w:t>: Institutional action that confirms a resident or fellow position through an offer letter or contract for a defined training period.</w:t>
      </w:r>
    </w:p>
    <w:p w14:paraId="5EDA4DB8" w14:textId="2910ABA9" w:rsidR="00916BF5" w:rsidRDefault="00E50EFF" w:rsidP="00916BF5">
      <w:pPr>
        <w:pStyle w:val="NoSpacing"/>
        <w:numPr>
          <w:ilvl w:val="0"/>
          <w:numId w:val="22"/>
        </w:numPr>
        <w:jc w:val="left"/>
      </w:pPr>
      <w:r w:rsidRPr="00E50EFF">
        <w:rPr>
          <w:b/>
          <w:bCs/>
        </w:rPr>
        <w:t>DIO</w:t>
      </w:r>
      <w:r>
        <w:t>: Designated Institutional Official who has authority and responsibility for the oversight and administration of GME programs.</w:t>
      </w:r>
    </w:p>
    <w:p w14:paraId="1398D428" w14:textId="7F9648EF" w:rsidR="00916BF5" w:rsidRDefault="00E50EFF" w:rsidP="00916BF5">
      <w:pPr>
        <w:pStyle w:val="NoSpacing"/>
        <w:numPr>
          <w:ilvl w:val="0"/>
          <w:numId w:val="22"/>
        </w:numPr>
        <w:jc w:val="left"/>
      </w:pPr>
      <w:r w:rsidRPr="00E50EFF">
        <w:rPr>
          <w:b/>
          <w:bCs/>
        </w:rPr>
        <w:t>ECFMG Certificate</w:t>
      </w:r>
      <w:r>
        <w:t>: A currently valid certificate issued by the Educational Commission for Foreign Medical Graduates indicating readiness for U.S. GME training.</w:t>
      </w:r>
    </w:p>
    <w:p w14:paraId="1EBA0EE1" w14:textId="4378F129" w:rsidR="00916BF5" w:rsidRDefault="00E50EFF" w:rsidP="00916BF5">
      <w:pPr>
        <w:pStyle w:val="NoSpacing"/>
        <w:numPr>
          <w:ilvl w:val="0"/>
          <w:numId w:val="22"/>
        </w:numPr>
        <w:jc w:val="left"/>
      </w:pPr>
      <w:r w:rsidRPr="00E50EFF">
        <w:rPr>
          <w:b/>
          <w:bCs/>
        </w:rPr>
        <w:t>Eligibility Verification</w:t>
      </w:r>
      <w:r>
        <w:t>: Institutional and program review confirming the applicant meets qualifications required for GME training, licensure, and employment.</w:t>
      </w:r>
    </w:p>
    <w:p w14:paraId="4E41A103" w14:textId="11C880F2" w:rsidR="00916BF5" w:rsidRDefault="00E50EFF" w:rsidP="00916BF5">
      <w:pPr>
        <w:pStyle w:val="NoSpacing"/>
        <w:numPr>
          <w:ilvl w:val="0"/>
          <w:numId w:val="22"/>
        </w:numPr>
        <w:jc w:val="left"/>
      </w:pPr>
      <w:r w:rsidRPr="00E50EFF">
        <w:rPr>
          <w:b/>
          <w:bCs/>
        </w:rPr>
        <w:t>Participating Site</w:t>
      </w:r>
      <w:r>
        <w:t>: A clinical site providing required educational experiences under agreement with the Sponsoring Institution.</w:t>
      </w:r>
    </w:p>
    <w:p w14:paraId="6E88EBEC" w14:textId="54078F97" w:rsidR="00916BF5" w:rsidRDefault="00E50EFF" w:rsidP="00916BF5">
      <w:pPr>
        <w:pStyle w:val="NoSpacing"/>
        <w:numPr>
          <w:ilvl w:val="0"/>
          <w:numId w:val="22"/>
        </w:numPr>
        <w:jc w:val="left"/>
      </w:pPr>
      <w:r w:rsidRPr="00E50EFF">
        <w:rPr>
          <w:b/>
          <w:bCs/>
        </w:rPr>
        <w:t>Recognition Requirements</w:t>
      </w:r>
      <w:r>
        <w:t>: ACGME requirements for programs or institutions seeking or holding ACGME recognition in designated areas.</w:t>
      </w:r>
    </w:p>
    <w:p w14:paraId="07577F70" w14:textId="411C7F3A" w:rsidR="009901AF" w:rsidRDefault="00E50EFF" w:rsidP="00916BF5">
      <w:pPr>
        <w:pStyle w:val="NoSpacing"/>
        <w:numPr>
          <w:ilvl w:val="0"/>
          <w:numId w:val="22"/>
        </w:numPr>
        <w:jc w:val="left"/>
        <w:rPr>
          <w:b/>
          <w:bCs/>
        </w:rPr>
      </w:pPr>
      <w:r w:rsidRPr="00E50EFF">
        <w:rPr>
          <w:b/>
          <w:bCs/>
        </w:rPr>
        <w:t>Stipend and Benefits Disclosure</w:t>
      </w:r>
      <w:r>
        <w:t>: Written or electronic communication provided to interviewees that describes compensation and benefits in effect at interview or at appointment.</w:t>
      </w:r>
    </w:p>
    <w:p w14:paraId="0AA0CC67" w14:textId="77777777" w:rsidR="00E50EFF" w:rsidRDefault="00E50EFF" w:rsidP="00921029">
      <w:pPr>
        <w:pStyle w:val="NoSpacing"/>
        <w:rPr>
          <w:b/>
          <w:bCs/>
        </w:rPr>
      </w:pPr>
    </w:p>
    <w:p w14:paraId="65C271F0" w14:textId="0EC08451" w:rsidR="003E1C39" w:rsidRDefault="00DD3CB9" w:rsidP="00921029">
      <w:pPr>
        <w:pStyle w:val="NoSpacing"/>
        <w:rPr>
          <w:b/>
          <w:bCs/>
        </w:rPr>
      </w:pPr>
      <w:r w:rsidRPr="00921029">
        <w:rPr>
          <w:b/>
          <w:bCs/>
        </w:rPr>
        <w:t>SCOPE</w:t>
      </w:r>
      <w:r w:rsidR="003E1C39">
        <w:rPr>
          <w:b/>
          <w:bCs/>
        </w:rPr>
        <w:t>:</w:t>
      </w:r>
    </w:p>
    <w:p w14:paraId="4AD81218" w14:textId="0514536A" w:rsidR="009901AF" w:rsidRDefault="009901AF" w:rsidP="009901AF">
      <w:pPr>
        <w:jc w:val="left"/>
      </w:pPr>
      <w:r>
        <w:t>This policy applies to:</w:t>
      </w:r>
      <w:r>
        <w:br/>
        <w:t>• All ACGME-accredited residency programs sponsored by the Institution</w:t>
      </w:r>
      <w:r w:rsidR="00F36C2C">
        <w:t xml:space="preserve"> (St. Mary’s Hospital #</w:t>
      </w:r>
      <w:r w:rsidR="00131B0F">
        <w:t>080458)</w:t>
      </w:r>
      <w:r>
        <w:t>.</w:t>
      </w:r>
      <w:r>
        <w:br/>
        <w:t>• All applicants invited to interview for resident positions</w:t>
      </w:r>
      <w:r w:rsidR="00131B0F">
        <w:t xml:space="preserve"> and a</w:t>
      </w:r>
      <w:r>
        <w:t xml:space="preserve">ll individuals offered appointment </w:t>
      </w:r>
      <w:r>
        <w:lastRenderedPageBreak/>
        <w:t>to an ACGME-accredited program.</w:t>
      </w:r>
      <w:r>
        <w:br/>
      </w:r>
    </w:p>
    <w:p w14:paraId="40C6317C" w14:textId="77777777" w:rsidR="009901AF" w:rsidRDefault="009901AF" w:rsidP="009901AF">
      <w:pPr>
        <w:pStyle w:val="NoSpacing"/>
        <w:rPr>
          <w:b/>
          <w:bCs/>
        </w:rPr>
      </w:pPr>
      <w:r w:rsidRPr="00921029">
        <w:rPr>
          <w:b/>
          <w:bCs/>
        </w:rPr>
        <w:t>POLICY</w:t>
      </w:r>
      <w:r>
        <w:rPr>
          <w:b/>
          <w:bCs/>
        </w:rPr>
        <w:t>:</w:t>
      </w:r>
    </w:p>
    <w:p w14:paraId="2DE09E09" w14:textId="77777777" w:rsidR="004306B2" w:rsidRPr="004306B2" w:rsidRDefault="00D72DA6" w:rsidP="004306B2">
      <w:pPr>
        <w:pStyle w:val="NoSpacing"/>
        <w:jc w:val="left"/>
      </w:pPr>
      <w:r w:rsidRPr="00D72DA6">
        <w:t>Eligibility for Appointment</w:t>
      </w:r>
      <w:r w:rsidR="004D18C4">
        <w:t>:</w:t>
      </w:r>
      <w:r w:rsidRPr="00D72DA6">
        <w:br/>
      </w:r>
      <w:r w:rsidR="004306B2" w:rsidRPr="004306B2">
        <w:t>To be eligible for appointment to an ACGME-accredited program, an applicant must meet one of the following qualifications. The applicant must graduate from a medical school in the United States accredited by the Liaison Committee on Medical Education (LCME). Alternatively, the applicant may graduate from a college of osteopathic medicine in the United States accredited by the American Osteopathic Association (AOA). An applicant who graduates from a medical school outside the United States must also meet one of these additional qualifications: hold a currently valid ECFMG certificate before appointment or hold a full and unrestricted license to practice medicine in a United States licensing jurisdiction in the current ACGME specialty or subspecialty program.</w:t>
      </w:r>
    </w:p>
    <w:p w14:paraId="247E54F4" w14:textId="1D1B858E" w:rsidR="00316964" w:rsidRPr="00D72DA6" w:rsidRDefault="00316964" w:rsidP="00D72DA6">
      <w:pPr>
        <w:pStyle w:val="NoSpacing"/>
        <w:jc w:val="left"/>
      </w:pPr>
    </w:p>
    <w:p w14:paraId="5A05032C" w14:textId="1602DAC2" w:rsidR="00D72DA6" w:rsidRDefault="00D72DA6" w:rsidP="00D72DA6">
      <w:pPr>
        <w:pStyle w:val="NoSpacing"/>
        <w:jc w:val="left"/>
      </w:pPr>
      <w:r w:rsidRPr="00D72DA6">
        <w:t>Pre-Interview</w:t>
      </w:r>
      <w:r w:rsidR="005D2634">
        <w:t xml:space="preserve"> and Pre-Appointment</w:t>
      </w:r>
      <w:r w:rsidRPr="00D72DA6">
        <w:t xml:space="preserve"> Disclosures</w:t>
      </w:r>
      <w:r w:rsidR="00103435">
        <w:t>:</w:t>
      </w:r>
      <w:r w:rsidRPr="00D72DA6">
        <w:br/>
        <w:t xml:space="preserve">Applicants invited to interview </w:t>
      </w:r>
      <w:r w:rsidR="0021335F">
        <w:t>will</w:t>
      </w:r>
      <w:r w:rsidRPr="00D72DA6">
        <w:t xml:space="preserve"> receive written or electronic information regarding the terms, conditions, and benefits of appointment, either in effect at the time of the interview or expected to be in effect at the time of appointment. This information </w:t>
      </w:r>
      <w:r w:rsidR="001F0A35">
        <w:t>will</w:t>
      </w:r>
      <w:r w:rsidRPr="00D72DA6">
        <w:t xml:space="preserve"> include stipends and benefits, including professional liability coverage and disability insurance accessible to residents and fellows; institutional policies for vacation and leaves of absence, including medical, parental, and caregiver leaves; and health insurance accessible to residents and their eligible dependents.</w:t>
      </w:r>
    </w:p>
    <w:p w14:paraId="05AC4885" w14:textId="77777777" w:rsidR="00AE4099" w:rsidRDefault="00AE4099" w:rsidP="00D72DA6">
      <w:pPr>
        <w:pStyle w:val="NoSpacing"/>
        <w:jc w:val="left"/>
      </w:pPr>
    </w:p>
    <w:p w14:paraId="2B38B237" w14:textId="7D5C83AB" w:rsidR="00AE4099" w:rsidRDefault="00AE4099" w:rsidP="00D72DA6">
      <w:pPr>
        <w:pStyle w:val="NoSpacing"/>
        <w:jc w:val="left"/>
      </w:pPr>
      <w:r>
        <w:t>Equity and Non-Discrimination</w:t>
      </w:r>
      <w:r w:rsidR="00B77AFD">
        <w:t>:</w:t>
      </w:r>
    </w:p>
    <w:p w14:paraId="2A49C7C4" w14:textId="6BD30EE3" w:rsidR="00B77AFD" w:rsidRDefault="00526E6D" w:rsidP="00D72DA6">
      <w:pPr>
        <w:pStyle w:val="NoSpacing"/>
        <w:jc w:val="left"/>
      </w:pPr>
      <w:r>
        <w:t xml:space="preserve">Recruitment, selection, and appointment decisions will comply with institutional non-discrimination policies and applicable </w:t>
      </w:r>
      <w:r w:rsidR="00682AE4">
        <w:t xml:space="preserve">Federal, State and local </w:t>
      </w:r>
      <w:r>
        <w:t>law.</w:t>
      </w:r>
    </w:p>
    <w:p w14:paraId="5EAA9677" w14:textId="77777777" w:rsidR="00B612D6" w:rsidRDefault="00B612D6" w:rsidP="00D72DA6">
      <w:pPr>
        <w:pStyle w:val="NoSpacing"/>
        <w:jc w:val="left"/>
      </w:pPr>
    </w:p>
    <w:p w14:paraId="299E3D61" w14:textId="4267EAD6" w:rsidR="00B612D6" w:rsidRDefault="00B612D6" w:rsidP="00B612D6">
      <w:pPr>
        <w:pStyle w:val="NoSpacing"/>
        <w:jc w:val="left"/>
      </w:pPr>
      <w:r w:rsidRPr="00B612D6">
        <w:t>Recruitment and Selection</w:t>
      </w:r>
      <w:r>
        <w:t>:</w:t>
      </w:r>
      <w:r w:rsidRPr="00B612D6">
        <w:br/>
        <w:t>Recruitment and selection must use fair, equitable, and nondiscriminatory practices consistent with institutional policies and applicable law. Programs must document selection criteria and decisions and confirm eligibility prior to any offer of appointment.</w:t>
      </w:r>
    </w:p>
    <w:p w14:paraId="190AE3A5" w14:textId="77777777" w:rsidR="00B612D6" w:rsidRPr="00B612D6" w:rsidRDefault="00B612D6" w:rsidP="00B612D6">
      <w:pPr>
        <w:pStyle w:val="NoSpacing"/>
        <w:jc w:val="left"/>
      </w:pPr>
    </w:p>
    <w:p w14:paraId="35B79EBB" w14:textId="4FA03A07" w:rsidR="009D5E67" w:rsidRDefault="009D5E67" w:rsidP="009D5E67">
      <w:pPr>
        <w:pStyle w:val="NoSpacing"/>
        <w:jc w:val="left"/>
      </w:pPr>
      <w:r w:rsidRPr="009D5E67">
        <w:t>Eligibility</w:t>
      </w:r>
      <w:r w:rsidRPr="00E0302F">
        <w:t xml:space="preserve"> </w:t>
      </w:r>
      <w:r w:rsidRPr="009D5E67">
        <w:t>Verification</w:t>
      </w:r>
      <w:r w:rsidRPr="00E0302F">
        <w:t xml:space="preserve">: </w:t>
      </w:r>
      <w:r w:rsidRPr="009D5E67">
        <w:br/>
        <w:t>Training programs must verify each applicant’s educational credentials and accreditation source. This includes confirming graduation from an LCME-accredited medical school for MD applicants, an AOA-accredited college of osteopathic medicine for DO applicants, or, for international graduates, a currently valid ECFMG certificate or a full and unrestricted U.S. license in the training specialty. Applicant data submitted through ERAS (Electronic Residency Application Service) is verified in conjunction with ECFMG when applicable.</w:t>
      </w:r>
    </w:p>
    <w:p w14:paraId="267AB778" w14:textId="77777777" w:rsidR="00E0302F" w:rsidRPr="009D5E67" w:rsidRDefault="00E0302F" w:rsidP="009D5E67">
      <w:pPr>
        <w:pStyle w:val="NoSpacing"/>
        <w:jc w:val="left"/>
      </w:pPr>
    </w:p>
    <w:p w14:paraId="6051324A" w14:textId="77777777" w:rsidR="009D5E67" w:rsidRPr="009D5E67" w:rsidRDefault="009D5E67" w:rsidP="009D5E67">
      <w:pPr>
        <w:pStyle w:val="NoSpacing"/>
      </w:pPr>
      <w:r w:rsidRPr="009D5E67">
        <w:t>Programs must also confirm all employment prerequisites in collaboration with Human Resources, including background checks, professional references, and credentialing. Visa status and work authorization, if required, must be verified as active and compliant by the ECFMG Training Program Liaison(s). Compliance with immunization, occupational health, and safety requirements must be documented by Occupational Health. All verifications must be recorded in the resident or fellow file.</w:t>
      </w:r>
    </w:p>
    <w:p w14:paraId="187F1218" w14:textId="77777777" w:rsidR="00B612D6" w:rsidRPr="00B612D6" w:rsidRDefault="00B612D6" w:rsidP="009D5E67">
      <w:pPr>
        <w:pStyle w:val="NoSpacing"/>
      </w:pPr>
    </w:p>
    <w:p w14:paraId="03A61EDC" w14:textId="5762364C" w:rsidR="00B612D6" w:rsidRDefault="00B612D6" w:rsidP="00B612D6">
      <w:pPr>
        <w:pStyle w:val="NoSpacing"/>
        <w:jc w:val="left"/>
      </w:pPr>
      <w:r w:rsidRPr="00B612D6">
        <w:t>Interview Disclosures</w:t>
      </w:r>
      <w:r>
        <w:t>:</w:t>
      </w:r>
      <w:r w:rsidRPr="00B612D6">
        <w:br/>
        <w:t>Programs must provide a standardized disclosure packet electronically or in writing to each invited applicant. The packet must include the current stipend schedule and benefits summary; professional liability coverage terms, including tail coverage if applicable; disability insurance coverage details; health insurance availability, eligibility, cost sharing, dependent coverage, and enrollment timelines; institutional policies for vacation, medical, parental, and caregiver leaves; and information on duty hours, moonlighting policy if applicable, supervision policy, evaluation process, promotion criteria, and remediation policy when relevant for transparency. Materials must be updated annually or when benefits or policies change.</w:t>
      </w:r>
    </w:p>
    <w:p w14:paraId="381136AC" w14:textId="77777777" w:rsidR="00E55911" w:rsidRPr="00B612D6" w:rsidRDefault="00E55911" w:rsidP="00B612D6">
      <w:pPr>
        <w:pStyle w:val="NoSpacing"/>
        <w:jc w:val="left"/>
      </w:pPr>
    </w:p>
    <w:p w14:paraId="16FAA2C9" w14:textId="6DC9EC3B" w:rsidR="00B612D6" w:rsidRDefault="00B612D6" w:rsidP="00B612D6">
      <w:pPr>
        <w:pStyle w:val="NoSpacing"/>
        <w:jc w:val="left"/>
      </w:pPr>
      <w:r w:rsidRPr="00B612D6">
        <w:t>Offers and Appointment Letters</w:t>
      </w:r>
      <w:r>
        <w:t>:</w:t>
      </w:r>
      <w:r w:rsidRPr="00B612D6">
        <w:br/>
        <w:t>Offers may only be issued after eligibility verification and must use standardized institutional templates. Appointment letters must include the position title, program, PGY level, appointment dates, stipend, benefits, conditions of appointment and contingencies such as credentialing and HR onboarding, and applicable policies with instructions on where to access them. Signed offer letters and acknowledgments must be retained in the GME record.</w:t>
      </w:r>
    </w:p>
    <w:p w14:paraId="3817A9C4" w14:textId="77777777" w:rsidR="00E55911" w:rsidRPr="00B612D6" w:rsidRDefault="00E55911" w:rsidP="00B612D6">
      <w:pPr>
        <w:pStyle w:val="NoSpacing"/>
        <w:jc w:val="left"/>
      </w:pPr>
    </w:p>
    <w:p w14:paraId="2843A9BA" w14:textId="76787F7A" w:rsidR="00B612D6" w:rsidRDefault="00B612D6" w:rsidP="00B612D6">
      <w:pPr>
        <w:pStyle w:val="NoSpacing"/>
        <w:jc w:val="left"/>
      </w:pPr>
      <w:r w:rsidRPr="00B612D6">
        <w:t>Onboarding and Record Retention</w:t>
      </w:r>
      <w:r>
        <w:t>:</w:t>
      </w:r>
      <w:r w:rsidRPr="00B612D6">
        <w:br/>
        <w:t>Onboarding requirements must be completed prior to the start date. Records must be maintained in accordance with institutional document retention schedules and applicable law.</w:t>
      </w:r>
    </w:p>
    <w:p w14:paraId="31E73BCD" w14:textId="77777777" w:rsidR="00F156E0" w:rsidRDefault="00F156E0" w:rsidP="00B612D6">
      <w:pPr>
        <w:pStyle w:val="NoSpacing"/>
        <w:jc w:val="left"/>
      </w:pPr>
    </w:p>
    <w:p w14:paraId="5BDD69EC" w14:textId="72A8354F" w:rsidR="00F156E0" w:rsidRDefault="00F156E0" w:rsidP="00B612D6">
      <w:pPr>
        <w:pStyle w:val="NoSpacing"/>
        <w:jc w:val="left"/>
      </w:pPr>
      <w:r>
        <w:t xml:space="preserve">Exceptions and Special Circumstances: </w:t>
      </w:r>
    </w:p>
    <w:p w14:paraId="1F6EB566" w14:textId="7037D545" w:rsidR="00F63E91" w:rsidRPr="00B612D6" w:rsidRDefault="00F63E91" w:rsidP="00B612D6">
      <w:pPr>
        <w:pStyle w:val="NoSpacing"/>
        <w:jc w:val="left"/>
        <w:rPr>
          <w:b/>
          <w:bCs/>
        </w:rPr>
      </w:pPr>
      <w:r>
        <w:t xml:space="preserve">Any deviations from this policy requires prior written approval from the DIO in addition to any ACGME </w:t>
      </w:r>
      <w:r w:rsidR="00DE2590">
        <w:t xml:space="preserve">or </w:t>
      </w:r>
      <w:r w:rsidR="00962F9D">
        <w:t xml:space="preserve">American Board of Medical </w:t>
      </w:r>
      <w:r w:rsidR="00DE2590">
        <w:t>Specialty</w:t>
      </w:r>
      <w:r w:rsidR="00962F9D">
        <w:t xml:space="preserve"> (A</w:t>
      </w:r>
      <w:r w:rsidR="00B56A9F">
        <w:t>BM</w:t>
      </w:r>
      <w:r w:rsidR="00962F9D">
        <w:t xml:space="preserve">S) </w:t>
      </w:r>
      <w:r w:rsidR="00237280">
        <w:t>certifying board approvals,</w:t>
      </w:r>
      <w:r w:rsidR="00DE2590">
        <w:t xml:space="preserve"> as required.</w:t>
      </w:r>
    </w:p>
    <w:p w14:paraId="3546B5E6" w14:textId="77777777" w:rsidR="00B612D6" w:rsidRPr="00D72DA6" w:rsidRDefault="00B612D6" w:rsidP="00D72DA6">
      <w:pPr>
        <w:pStyle w:val="NoSpacing"/>
        <w:jc w:val="left"/>
        <w:rPr>
          <w:b/>
          <w:bCs/>
        </w:rPr>
      </w:pPr>
    </w:p>
    <w:p w14:paraId="413A60B5" w14:textId="77777777" w:rsidR="00921029" w:rsidRPr="004B3221" w:rsidRDefault="00921029" w:rsidP="00921029">
      <w:pPr>
        <w:pStyle w:val="NoSpacing"/>
      </w:pPr>
    </w:p>
    <w:p w14:paraId="0089C90C" w14:textId="4DC43870" w:rsidR="00C46723" w:rsidRDefault="002E5DD4" w:rsidP="00921029">
      <w:pPr>
        <w:pStyle w:val="NoSpacing"/>
        <w:rPr>
          <w:b/>
          <w:szCs w:val="24"/>
        </w:rPr>
      </w:pPr>
      <w:r w:rsidRPr="00921029">
        <w:rPr>
          <w:b/>
          <w:szCs w:val="24"/>
        </w:rPr>
        <w:t>RESPONSIBLE DEPARTMENT</w:t>
      </w:r>
      <w:r w:rsidR="003E1C39">
        <w:rPr>
          <w:b/>
          <w:szCs w:val="24"/>
        </w:rPr>
        <w:t>:</w:t>
      </w:r>
    </w:p>
    <w:p w14:paraId="7BB6095C" w14:textId="3CACF992" w:rsidR="003E1C39" w:rsidRPr="003E1C39" w:rsidRDefault="00C23102" w:rsidP="00921029">
      <w:pPr>
        <w:pStyle w:val="NoSpacing"/>
        <w:rPr>
          <w:bCs/>
          <w:szCs w:val="24"/>
        </w:rPr>
      </w:pPr>
      <w:r>
        <w:rPr>
          <w:bCs/>
          <w:szCs w:val="24"/>
        </w:rPr>
        <w:t xml:space="preserve">St. Mary’s Hospital Graduate Medical Education </w:t>
      </w:r>
    </w:p>
    <w:p w14:paraId="5BF3EEAC" w14:textId="77777777" w:rsidR="00BB6CEF" w:rsidRPr="00921029" w:rsidRDefault="00BB6CEF" w:rsidP="00921029">
      <w:pPr>
        <w:pStyle w:val="NoSpacing"/>
        <w:rPr>
          <w:b/>
          <w:szCs w:val="24"/>
        </w:rPr>
      </w:pPr>
    </w:p>
    <w:p w14:paraId="0EE0E28B" w14:textId="77777777" w:rsidR="00BB6CEF" w:rsidRPr="00921029" w:rsidRDefault="00BB6CEF" w:rsidP="00921029">
      <w:pPr>
        <w:pStyle w:val="NoSpacing"/>
        <w:rPr>
          <w:b/>
          <w:szCs w:val="24"/>
        </w:rPr>
      </w:pPr>
    </w:p>
    <w:p w14:paraId="6513B954" w14:textId="77777777" w:rsidR="003E1C39" w:rsidRPr="009C5383" w:rsidRDefault="003E1C39" w:rsidP="003E1C39">
      <w:pPr>
        <w:rPr>
          <w:rFonts w:cstheme="minorHAnsi"/>
          <w:b/>
          <w:bCs/>
        </w:rPr>
      </w:pPr>
      <w:r w:rsidRPr="009C5383">
        <w:rPr>
          <w:rFonts w:cstheme="minorHAnsi"/>
          <w:b/>
          <w:bCs/>
        </w:rPr>
        <w:t>APPROVALS</w:t>
      </w:r>
    </w:p>
    <w:p w14:paraId="40B9C9B2" w14:textId="06EA69AE" w:rsidR="003E1C39" w:rsidRPr="009C5383" w:rsidRDefault="00903EB1" w:rsidP="003E1C39">
      <w:pPr>
        <w:pStyle w:val="NoSpacing"/>
        <w:rPr>
          <w:rFonts w:cstheme="minorHAnsi"/>
        </w:rPr>
      </w:pPr>
      <w:r>
        <w:rPr>
          <w:rFonts w:cstheme="minorHAnsi"/>
        </w:rPr>
        <w:t xml:space="preserve">Carina Biggs, MD, </w:t>
      </w:r>
      <w:r w:rsidR="00D27AD5">
        <w:rPr>
          <w:rFonts w:cstheme="minorHAnsi"/>
        </w:rPr>
        <w:t>___</w:t>
      </w:r>
      <w:r w:rsidR="003E1C39" w:rsidRPr="009C5383">
        <w:rPr>
          <w:rFonts w:cstheme="minorHAnsi"/>
        </w:rPr>
        <w:t>_____________</w:t>
      </w:r>
      <w:r w:rsidR="00D27AD5">
        <w:rPr>
          <w:rFonts w:cstheme="minorHAnsi"/>
        </w:rPr>
        <w:t>__</w:t>
      </w:r>
      <w:r w:rsidR="003E1C39" w:rsidRPr="009C5383">
        <w:rPr>
          <w:rFonts w:cstheme="minorHAnsi"/>
        </w:rPr>
        <w:t xml:space="preserve">    </w:t>
      </w:r>
      <w:r w:rsidR="003E1C39" w:rsidRPr="009C5383">
        <w:rPr>
          <w:rFonts w:cstheme="minorHAnsi"/>
        </w:rPr>
        <w:tab/>
      </w:r>
      <w:r w:rsidR="003E1C39" w:rsidRPr="009C5383">
        <w:rPr>
          <w:rFonts w:cstheme="minorHAnsi"/>
        </w:rPr>
        <w:tab/>
        <w:t>____________________________</w:t>
      </w:r>
    </w:p>
    <w:p w14:paraId="327B8702" w14:textId="4B121C0B" w:rsidR="003E1C39" w:rsidRPr="009C5383" w:rsidRDefault="003E1C39" w:rsidP="003E1C39">
      <w:pPr>
        <w:pStyle w:val="NoSpacing"/>
        <w:rPr>
          <w:rFonts w:cstheme="minorHAnsi"/>
        </w:rPr>
      </w:pPr>
      <w:r w:rsidRPr="009C5383">
        <w:rPr>
          <w:rFonts w:cstheme="minorHAnsi"/>
        </w:rPr>
        <w:t>Designated Institutional Official (Print)</w:t>
      </w:r>
      <w:r w:rsidRPr="009C5383">
        <w:rPr>
          <w:rFonts w:cstheme="minorHAnsi"/>
        </w:rPr>
        <w:tab/>
      </w:r>
      <w:r w:rsidRPr="009C5383">
        <w:rPr>
          <w:rFonts w:cstheme="minorHAnsi"/>
        </w:rPr>
        <w:tab/>
        <w:t>Signature</w:t>
      </w:r>
    </w:p>
    <w:p w14:paraId="47F72D4B" w14:textId="77777777" w:rsidR="003E1C39" w:rsidRPr="009C5383" w:rsidRDefault="003E1C39" w:rsidP="003E1C39">
      <w:pPr>
        <w:pStyle w:val="NoSpacing"/>
        <w:rPr>
          <w:rFonts w:cstheme="minorHAnsi"/>
        </w:rPr>
      </w:pPr>
    </w:p>
    <w:p w14:paraId="709180B7" w14:textId="5350D91E" w:rsidR="003E1C39" w:rsidRPr="009C5383" w:rsidRDefault="00903EB1" w:rsidP="003E1C39">
      <w:pPr>
        <w:pStyle w:val="NoSpacing"/>
        <w:rPr>
          <w:rFonts w:cstheme="minorHAnsi"/>
        </w:rPr>
      </w:pPr>
      <w:r>
        <w:rPr>
          <w:rFonts w:cstheme="minorHAnsi"/>
        </w:rPr>
        <w:t>J.</w:t>
      </w:r>
      <w:r w:rsidR="00232831">
        <w:rPr>
          <w:rFonts w:cstheme="minorHAnsi"/>
        </w:rPr>
        <w:t xml:space="preserve"> </w:t>
      </w:r>
      <w:r>
        <w:rPr>
          <w:rFonts w:cstheme="minorHAnsi"/>
        </w:rPr>
        <w:t xml:space="preserve">Alexander Palesty, MD, </w:t>
      </w:r>
      <w:r w:rsidR="00232831">
        <w:rPr>
          <w:rFonts w:cstheme="minorHAnsi"/>
        </w:rPr>
        <w:t>_____</w:t>
      </w:r>
      <w:r w:rsidR="003E1C39" w:rsidRPr="009C5383">
        <w:rPr>
          <w:rFonts w:cstheme="minorHAnsi"/>
        </w:rPr>
        <w:t>______</w:t>
      </w:r>
      <w:r w:rsidR="00D27AD5">
        <w:rPr>
          <w:rFonts w:cstheme="minorHAnsi"/>
        </w:rPr>
        <w:t>__</w:t>
      </w:r>
      <w:r w:rsidR="003E1C39" w:rsidRPr="009C5383">
        <w:rPr>
          <w:rFonts w:cstheme="minorHAnsi"/>
        </w:rPr>
        <w:tab/>
      </w:r>
      <w:r w:rsidR="003E1C39" w:rsidRPr="009C5383">
        <w:rPr>
          <w:rFonts w:cstheme="minorHAnsi"/>
        </w:rPr>
        <w:tab/>
        <w:t>_____________________________</w:t>
      </w:r>
    </w:p>
    <w:p w14:paraId="1903F0F5" w14:textId="0C0F8947" w:rsidR="003E1C39" w:rsidRPr="009C5383" w:rsidRDefault="003E1C39" w:rsidP="003E1C39">
      <w:pPr>
        <w:pStyle w:val="NoSpacing"/>
        <w:rPr>
          <w:rFonts w:cstheme="minorHAnsi"/>
        </w:rPr>
      </w:pPr>
      <w:r w:rsidRPr="009C5383">
        <w:rPr>
          <w:rFonts w:cstheme="minorHAnsi"/>
        </w:rPr>
        <w:t xml:space="preserve">Program Director – </w:t>
      </w:r>
      <w:r w:rsidR="00CF7EC1">
        <w:rPr>
          <w:rFonts w:cstheme="minorHAnsi"/>
        </w:rPr>
        <w:t xml:space="preserve">General </w:t>
      </w:r>
      <w:r w:rsidRPr="009C5383">
        <w:rPr>
          <w:rFonts w:cstheme="minorHAnsi"/>
        </w:rPr>
        <w:t>Surgery</w:t>
      </w:r>
      <w:r>
        <w:rPr>
          <w:rFonts w:cstheme="minorHAnsi"/>
        </w:rPr>
        <w:t xml:space="preserve"> (Print)</w:t>
      </w:r>
      <w:r w:rsidRPr="009C5383">
        <w:rPr>
          <w:rFonts w:cstheme="minorHAnsi"/>
        </w:rPr>
        <w:tab/>
      </w:r>
      <w:r w:rsidRPr="009C5383">
        <w:rPr>
          <w:rFonts w:cstheme="minorHAnsi"/>
        </w:rPr>
        <w:tab/>
        <w:t>Signature</w:t>
      </w:r>
    </w:p>
    <w:p w14:paraId="473F9FE0" w14:textId="77777777" w:rsidR="003E1C39" w:rsidRDefault="003E1C39" w:rsidP="003E1C39">
      <w:pPr>
        <w:pStyle w:val="NoSpacing"/>
        <w:rPr>
          <w:rFonts w:cstheme="minorHAnsi"/>
        </w:rPr>
      </w:pPr>
    </w:p>
    <w:p w14:paraId="01485030" w14:textId="15B7D619" w:rsidR="00CF7EC1" w:rsidRPr="009C5383" w:rsidRDefault="00232831" w:rsidP="00CF7EC1">
      <w:pPr>
        <w:pStyle w:val="NoSpacing"/>
        <w:rPr>
          <w:rFonts w:cstheme="minorHAnsi"/>
        </w:rPr>
      </w:pPr>
      <w:r>
        <w:rPr>
          <w:rFonts w:cstheme="minorHAnsi"/>
        </w:rPr>
        <w:t>Shawnette Altson, MD</w:t>
      </w:r>
      <w:r w:rsidR="00CF7EC1" w:rsidRPr="009C5383">
        <w:rPr>
          <w:rFonts w:cstheme="minorHAnsi"/>
        </w:rPr>
        <w:t>_______________</w:t>
      </w:r>
      <w:r w:rsidR="00D27AD5">
        <w:rPr>
          <w:rFonts w:cstheme="minorHAnsi"/>
        </w:rPr>
        <w:t>__</w:t>
      </w:r>
      <w:r w:rsidR="00CF7EC1" w:rsidRPr="009C5383">
        <w:rPr>
          <w:rFonts w:cstheme="minorHAnsi"/>
        </w:rPr>
        <w:tab/>
      </w:r>
      <w:r w:rsidR="00CF7EC1" w:rsidRPr="009C5383">
        <w:rPr>
          <w:rFonts w:cstheme="minorHAnsi"/>
        </w:rPr>
        <w:tab/>
        <w:t>_____________________________</w:t>
      </w:r>
    </w:p>
    <w:p w14:paraId="4E38FD01" w14:textId="02B817C0" w:rsidR="00CF7EC1" w:rsidRPr="009C5383" w:rsidRDefault="00CF7EC1" w:rsidP="00CF7EC1">
      <w:pPr>
        <w:pStyle w:val="NoSpacing"/>
        <w:rPr>
          <w:rFonts w:cstheme="minorHAnsi"/>
        </w:rPr>
      </w:pPr>
      <w:r w:rsidRPr="009C5383">
        <w:rPr>
          <w:rFonts w:cstheme="minorHAnsi"/>
        </w:rPr>
        <w:t xml:space="preserve">Program Director – </w:t>
      </w:r>
      <w:r>
        <w:rPr>
          <w:rFonts w:cstheme="minorHAnsi"/>
        </w:rPr>
        <w:t>Internal Medicine (Print)</w:t>
      </w:r>
      <w:r w:rsidRPr="009C5383">
        <w:rPr>
          <w:rFonts w:cstheme="minorHAnsi"/>
        </w:rPr>
        <w:tab/>
        <w:t>Signature</w:t>
      </w:r>
    </w:p>
    <w:p w14:paraId="7B4EF8B6" w14:textId="77777777" w:rsidR="00CF7EC1" w:rsidRPr="009C5383" w:rsidRDefault="00CF7EC1" w:rsidP="00CF7EC1">
      <w:pPr>
        <w:pStyle w:val="NoSpacing"/>
        <w:rPr>
          <w:rFonts w:cstheme="minorHAnsi"/>
        </w:rPr>
      </w:pPr>
    </w:p>
    <w:p w14:paraId="05F774CB" w14:textId="77777777" w:rsidR="00CF7EC1" w:rsidRPr="009C5383" w:rsidRDefault="00CF7EC1" w:rsidP="003E1C39">
      <w:pPr>
        <w:pStyle w:val="NoSpacing"/>
        <w:rPr>
          <w:rFonts w:cstheme="minorHAnsi"/>
        </w:rPr>
      </w:pPr>
    </w:p>
    <w:p w14:paraId="6EE5290B" w14:textId="77777777" w:rsidR="003E1C39" w:rsidRPr="009C5383" w:rsidRDefault="003E1C39" w:rsidP="003E1C39">
      <w:pPr>
        <w:pStyle w:val="NoSpacing"/>
        <w:rPr>
          <w:rFonts w:cstheme="minorHAnsi"/>
        </w:rPr>
      </w:pPr>
      <w:r w:rsidRPr="009C5383">
        <w:rPr>
          <w:rFonts w:cstheme="minorHAnsi"/>
          <w:b/>
        </w:rPr>
        <w:t>Initial Approval:</w:t>
      </w:r>
      <w:r w:rsidRPr="009C5383">
        <w:rPr>
          <w:rFonts w:cstheme="minorHAnsi"/>
        </w:rPr>
        <w:t xml:space="preserve">  ____________________</w:t>
      </w:r>
    </w:p>
    <w:p w14:paraId="68646E93" w14:textId="77777777" w:rsidR="003E1C39" w:rsidRPr="009C5383" w:rsidRDefault="003E1C39" w:rsidP="003E1C39">
      <w:pPr>
        <w:pStyle w:val="NoSpacing"/>
        <w:rPr>
          <w:rFonts w:cstheme="minorHAnsi"/>
        </w:rPr>
      </w:pPr>
      <w:r w:rsidRPr="009C5383">
        <w:rPr>
          <w:rFonts w:cstheme="minorHAnsi"/>
        </w:rPr>
        <w:tab/>
        <w:t xml:space="preserve">                   Date</w:t>
      </w:r>
    </w:p>
    <w:p w14:paraId="6FF2E6AD" w14:textId="77777777" w:rsidR="003E1C39" w:rsidRDefault="003E1C39" w:rsidP="003E1C39">
      <w:r w:rsidRPr="009C5383">
        <w:rPr>
          <w:rFonts w:cstheme="minorHAnsi"/>
          <w:b/>
          <w:bCs/>
        </w:rPr>
        <w:lastRenderedPageBreak/>
        <w:t>Subsequent Review/Revision(s):</w:t>
      </w:r>
      <w:r w:rsidRPr="009C5383">
        <w:rPr>
          <w:rFonts w:cstheme="minorHAnsi"/>
          <w:bCs/>
        </w:rPr>
        <w:t xml:space="preserve">  </w:t>
      </w:r>
    </w:p>
    <w:p w14:paraId="0089C90F" w14:textId="4E059C30" w:rsidR="005E2D13" w:rsidRDefault="005E2D13" w:rsidP="00921029">
      <w:pPr>
        <w:pStyle w:val="NoSpacing"/>
        <w:rPr>
          <w:b/>
          <w:szCs w:val="24"/>
        </w:rPr>
      </w:pPr>
    </w:p>
    <w:p w14:paraId="4845BC12" w14:textId="42BA9FEC" w:rsidR="003E1C39" w:rsidRPr="00CF7EC1" w:rsidRDefault="003E1C39" w:rsidP="00921029">
      <w:pPr>
        <w:pStyle w:val="NoSpacing"/>
        <w:rPr>
          <w:bCs/>
          <w:szCs w:val="24"/>
        </w:rPr>
      </w:pPr>
      <w:r w:rsidRPr="00CF7EC1">
        <w:rPr>
          <w:bCs/>
          <w:szCs w:val="24"/>
        </w:rPr>
        <w:t xml:space="preserve">ACGME Institutional Requirement </w:t>
      </w:r>
      <w:r w:rsidR="00CF7EC1" w:rsidRPr="00CF7EC1">
        <w:rPr>
          <w:bCs/>
          <w:szCs w:val="24"/>
        </w:rPr>
        <w:t>4.2</w:t>
      </w:r>
    </w:p>
    <w:p w14:paraId="26FD6D54" w14:textId="1FDF8A45" w:rsidR="00127FA1" w:rsidRPr="003E1C39" w:rsidRDefault="00127FA1" w:rsidP="00921029">
      <w:pPr>
        <w:pStyle w:val="NoSpacing"/>
        <w:rPr>
          <w:bCs/>
          <w:szCs w:val="24"/>
        </w:rPr>
      </w:pPr>
      <w:r w:rsidRPr="00CF7EC1">
        <w:rPr>
          <w:bCs/>
          <w:szCs w:val="24"/>
        </w:rPr>
        <w:t xml:space="preserve">ACGME Core Requirements </w:t>
      </w:r>
      <w:r w:rsidR="009F71E9">
        <w:rPr>
          <w:bCs/>
          <w:szCs w:val="24"/>
        </w:rPr>
        <w:t>3.2-3.3</w:t>
      </w:r>
    </w:p>
    <w:sectPr w:rsidR="00127FA1" w:rsidRPr="003E1C39" w:rsidSect="00BE0B6A">
      <w:headerReference w:type="even" r:id="rId11"/>
      <w:headerReference w:type="default" r:id="rId12"/>
      <w:footerReference w:type="even" r:id="rId13"/>
      <w:footerReference w:type="default" r:id="rId14"/>
      <w:headerReference w:type="first" r:id="rId15"/>
      <w:footerReference w:type="first" r:id="rId16"/>
      <w:pgSz w:w="12240" w:h="15840" w:code="1"/>
      <w:pgMar w:top="1440" w:right="126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FCEF" w14:textId="77777777" w:rsidR="00070C90" w:rsidRDefault="00070C90">
      <w:r>
        <w:separator/>
      </w:r>
    </w:p>
  </w:endnote>
  <w:endnote w:type="continuationSeparator" w:id="0">
    <w:p w14:paraId="497764F6" w14:textId="77777777" w:rsidR="00070C90" w:rsidRDefault="0007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7DA5" w14:textId="77777777" w:rsidR="00C24C9A" w:rsidRDefault="00C2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775E" w14:textId="77777777" w:rsidR="00070C90" w:rsidRDefault="00070C90">
      <w:r>
        <w:separator/>
      </w:r>
    </w:p>
  </w:footnote>
  <w:footnote w:type="continuationSeparator" w:id="0">
    <w:p w14:paraId="33385077" w14:textId="77777777" w:rsidR="00070C90" w:rsidRDefault="0007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CA32" w14:textId="77777777" w:rsidR="00C24C9A" w:rsidRDefault="00C24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25DB02AF"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77777777"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BF0"/>
    <w:multiLevelType w:val="hybridMultilevel"/>
    <w:tmpl w:val="B8B6A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D1DAC"/>
    <w:multiLevelType w:val="hybridMultilevel"/>
    <w:tmpl w:val="E842E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E3C9D"/>
    <w:multiLevelType w:val="hybridMultilevel"/>
    <w:tmpl w:val="C5A62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958D9"/>
    <w:multiLevelType w:val="hybridMultilevel"/>
    <w:tmpl w:val="7C50A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E7F6C"/>
    <w:multiLevelType w:val="hybridMultilevel"/>
    <w:tmpl w:val="2A22D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3D3027D"/>
    <w:multiLevelType w:val="hybridMultilevel"/>
    <w:tmpl w:val="05E474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3D31308"/>
    <w:multiLevelType w:val="hybridMultilevel"/>
    <w:tmpl w:val="980CA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648F9"/>
    <w:multiLevelType w:val="hybridMultilevel"/>
    <w:tmpl w:val="9C9A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A1F19"/>
    <w:multiLevelType w:val="hybridMultilevel"/>
    <w:tmpl w:val="2A22D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6903C4"/>
    <w:multiLevelType w:val="hybridMultilevel"/>
    <w:tmpl w:val="69AA1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8E3763"/>
    <w:multiLevelType w:val="hybridMultilevel"/>
    <w:tmpl w:val="C266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635C5"/>
    <w:multiLevelType w:val="hybridMultilevel"/>
    <w:tmpl w:val="E68635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6B5377E"/>
    <w:multiLevelType w:val="hybridMultilevel"/>
    <w:tmpl w:val="8DF6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068D2"/>
    <w:multiLevelType w:val="hybridMultilevel"/>
    <w:tmpl w:val="06DED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92AE2"/>
    <w:multiLevelType w:val="hybridMultilevel"/>
    <w:tmpl w:val="BFA6D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772C95"/>
    <w:multiLevelType w:val="hybridMultilevel"/>
    <w:tmpl w:val="3D288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35E5A"/>
    <w:multiLevelType w:val="hybridMultilevel"/>
    <w:tmpl w:val="6788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C5521"/>
    <w:multiLevelType w:val="hybridMultilevel"/>
    <w:tmpl w:val="4C9C7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64E53"/>
    <w:multiLevelType w:val="hybridMultilevel"/>
    <w:tmpl w:val="F4CCFF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7E64140"/>
    <w:multiLevelType w:val="hybridMultilevel"/>
    <w:tmpl w:val="CE3C5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79665B"/>
    <w:multiLevelType w:val="hybridMultilevel"/>
    <w:tmpl w:val="E7F2F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3C4FE9"/>
    <w:multiLevelType w:val="hybridMultilevel"/>
    <w:tmpl w:val="99D4E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691383">
    <w:abstractNumId w:val="6"/>
  </w:num>
  <w:num w:numId="2" w16cid:durableId="2027364808">
    <w:abstractNumId w:val="21"/>
  </w:num>
  <w:num w:numId="3" w16cid:durableId="2115592199">
    <w:abstractNumId w:val="19"/>
  </w:num>
  <w:num w:numId="4" w16cid:durableId="1586651806">
    <w:abstractNumId w:val="1"/>
  </w:num>
  <w:num w:numId="5" w16cid:durableId="1915385035">
    <w:abstractNumId w:val="9"/>
  </w:num>
  <w:num w:numId="6" w16cid:durableId="1934242126">
    <w:abstractNumId w:val="11"/>
  </w:num>
  <w:num w:numId="7" w16cid:durableId="990907277">
    <w:abstractNumId w:val="0"/>
  </w:num>
  <w:num w:numId="8" w16cid:durableId="687606852">
    <w:abstractNumId w:val="3"/>
  </w:num>
  <w:num w:numId="9" w16cid:durableId="1246695407">
    <w:abstractNumId w:val="14"/>
  </w:num>
  <w:num w:numId="10" w16cid:durableId="544945343">
    <w:abstractNumId w:val="20"/>
  </w:num>
  <w:num w:numId="11" w16cid:durableId="2031566667">
    <w:abstractNumId w:val="2"/>
  </w:num>
  <w:num w:numId="12" w16cid:durableId="1836263228">
    <w:abstractNumId w:val="5"/>
  </w:num>
  <w:num w:numId="13" w16cid:durableId="727342864">
    <w:abstractNumId w:val="18"/>
  </w:num>
  <w:num w:numId="14" w16cid:durableId="1601644065">
    <w:abstractNumId w:val="8"/>
  </w:num>
  <w:num w:numId="15" w16cid:durableId="1798570631">
    <w:abstractNumId w:val="4"/>
  </w:num>
  <w:num w:numId="16" w16cid:durableId="761266764">
    <w:abstractNumId w:val="16"/>
  </w:num>
  <w:num w:numId="17" w16cid:durableId="1112938495">
    <w:abstractNumId w:val="10"/>
  </w:num>
  <w:num w:numId="18" w16cid:durableId="1004627673">
    <w:abstractNumId w:val="12"/>
  </w:num>
  <w:num w:numId="19" w16cid:durableId="1686595807">
    <w:abstractNumId w:val="7"/>
  </w:num>
  <w:num w:numId="20" w16cid:durableId="1329360298">
    <w:abstractNumId w:val="17"/>
  </w:num>
  <w:num w:numId="21" w16cid:durableId="2100904105">
    <w:abstractNumId w:val="13"/>
  </w:num>
  <w:num w:numId="22" w16cid:durableId="108961897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B1A"/>
    <w:rsid w:val="0002269F"/>
    <w:rsid w:val="00027D05"/>
    <w:rsid w:val="00040086"/>
    <w:rsid w:val="000400BF"/>
    <w:rsid w:val="0004018C"/>
    <w:rsid w:val="000407CC"/>
    <w:rsid w:val="00040A79"/>
    <w:rsid w:val="0004275E"/>
    <w:rsid w:val="00047D1F"/>
    <w:rsid w:val="00053FCC"/>
    <w:rsid w:val="0005715B"/>
    <w:rsid w:val="000608F7"/>
    <w:rsid w:val="00060B2A"/>
    <w:rsid w:val="00065CEA"/>
    <w:rsid w:val="00070429"/>
    <w:rsid w:val="00070C90"/>
    <w:rsid w:val="00071A2B"/>
    <w:rsid w:val="000815D7"/>
    <w:rsid w:val="00084F39"/>
    <w:rsid w:val="000850E5"/>
    <w:rsid w:val="000867B8"/>
    <w:rsid w:val="0008775E"/>
    <w:rsid w:val="0009077C"/>
    <w:rsid w:val="00093B9A"/>
    <w:rsid w:val="000A0904"/>
    <w:rsid w:val="000A77EE"/>
    <w:rsid w:val="000B3FF3"/>
    <w:rsid w:val="000B6A14"/>
    <w:rsid w:val="000C568F"/>
    <w:rsid w:val="000D0981"/>
    <w:rsid w:val="000D1697"/>
    <w:rsid w:val="000D55AC"/>
    <w:rsid w:val="000D64F5"/>
    <w:rsid w:val="000D6DDE"/>
    <w:rsid w:val="000E1022"/>
    <w:rsid w:val="000E133A"/>
    <w:rsid w:val="000E4994"/>
    <w:rsid w:val="000F2817"/>
    <w:rsid w:val="000F4433"/>
    <w:rsid w:val="000F66AC"/>
    <w:rsid w:val="000F71ED"/>
    <w:rsid w:val="00103435"/>
    <w:rsid w:val="0012652F"/>
    <w:rsid w:val="00127FA1"/>
    <w:rsid w:val="00131B0F"/>
    <w:rsid w:val="001363D8"/>
    <w:rsid w:val="001471FD"/>
    <w:rsid w:val="00147B61"/>
    <w:rsid w:val="00160E1B"/>
    <w:rsid w:val="001619DD"/>
    <w:rsid w:val="001656D9"/>
    <w:rsid w:val="00175B57"/>
    <w:rsid w:val="0017669A"/>
    <w:rsid w:val="00176E4D"/>
    <w:rsid w:val="00176F8F"/>
    <w:rsid w:val="00184A2F"/>
    <w:rsid w:val="0018746B"/>
    <w:rsid w:val="0018755C"/>
    <w:rsid w:val="001911B0"/>
    <w:rsid w:val="00192313"/>
    <w:rsid w:val="001934EE"/>
    <w:rsid w:val="001A77E2"/>
    <w:rsid w:val="001B0D8B"/>
    <w:rsid w:val="001B1C7A"/>
    <w:rsid w:val="001B4299"/>
    <w:rsid w:val="001B68AE"/>
    <w:rsid w:val="001D1D1A"/>
    <w:rsid w:val="001D5641"/>
    <w:rsid w:val="001D68E2"/>
    <w:rsid w:val="001E032B"/>
    <w:rsid w:val="001E22C2"/>
    <w:rsid w:val="001E76A1"/>
    <w:rsid w:val="001E7C06"/>
    <w:rsid w:val="001F09D9"/>
    <w:rsid w:val="001F0A35"/>
    <w:rsid w:val="001F27F2"/>
    <w:rsid w:val="001F5473"/>
    <w:rsid w:val="001F674C"/>
    <w:rsid w:val="0020527B"/>
    <w:rsid w:val="00206F02"/>
    <w:rsid w:val="0021335F"/>
    <w:rsid w:val="0021731C"/>
    <w:rsid w:val="002175AD"/>
    <w:rsid w:val="00221915"/>
    <w:rsid w:val="00224DE4"/>
    <w:rsid w:val="00232436"/>
    <w:rsid w:val="00232831"/>
    <w:rsid w:val="00237280"/>
    <w:rsid w:val="00240C9B"/>
    <w:rsid w:val="0024462F"/>
    <w:rsid w:val="0024552B"/>
    <w:rsid w:val="00251380"/>
    <w:rsid w:val="00255E1C"/>
    <w:rsid w:val="002615ED"/>
    <w:rsid w:val="00274568"/>
    <w:rsid w:val="002825BA"/>
    <w:rsid w:val="002916EE"/>
    <w:rsid w:val="002A0CEF"/>
    <w:rsid w:val="002B0DEA"/>
    <w:rsid w:val="002C345D"/>
    <w:rsid w:val="002E3FBD"/>
    <w:rsid w:val="002E5DD4"/>
    <w:rsid w:val="002F3436"/>
    <w:rsid w:val="002F4E5E"/>
    <w:rsid w:val="00301980"/>
    <w:rsid w:val="00305AF7"/>
    <w:rsid w:val="00310859"/>
    <w:rsid w:val="0031238A"/>
    <w:rsid w:val="00314152"/>
    <w:rsid w:val="00316964"/>
    <w:rsid w:val="00332A23"/>
    <w:rsid w:val="0034442B"/>
    <w:rsid w:val="003519CB"/>
    <w:rsid w:val="00355349"/>
    <w:rsid w:val="00355AB7"/>
    <w:rsid w:val="0036087B"/>
    <w:rsid w:val="00362EB1"/>
    <w:rsid w:val="00382E11"/>
    <w:rsid w:val="00383160"/>
    <w:rsid w:val="0039262D"/>
    <w:rsid w:val="00394BB9"/>
    <w:rsid w:val="003958D4"/>
    <w:rsid w:val="003A237B"/>
    <w:rsid w:val="003B0CA1"/>
    <w:rsid w:val="003C5E25"/>
    <w:rsid w:val="003C7498"/>
    <w:rsid w:val="003C799A"/>
    <w:rsid w:val="003D1D48"/>
    <w:rsid w:val="003D4E03"/>
    <w:rsid w:val="003D597C"/>
    <w:rsid w:val="003E1C39"/>
    <w:rsid w:val="003E2C54"/>
    <w:rsid w:val="003E4A8F"/>
    <w:rsid w:val="003E7725"/>
    <w:rsid w:val="003F1257"/>
    <w:rsid w:val="003F24E0"/>
    <w:rsid w:val="003F5995"/>
    <w:rsid w:val="003F72B3"/>
    <w:rsid w:val="003F7D00"/>
    <w:rsid w:val="00400686"/>
    <w:rsid w:val="004007A3"/>
    <w:rsid w:val="00401A9A"/>
    <w:rsid w:val="0040260C"/>
    <w:rsid w:val="0040291F"/>
    <w:rsid w:val="004121B8"/>
    <w:rsid w:val="004125FC"/>
    <w:rsid w:val="00422A6B"/>
    <w:rsid w:val="00425CDB"/>
    <w:rsid w:val="004270B5"/>
    <w:rsid w:val="004306B2"/>
    <w:rsid w:val="00441AC3"/>
    <w:rsid w:val="00445E54"/>
    <w:rsid w:val="00455F93"/>
    <w:rsid w:val="004571A1"/>
    <w:rsid w:val="00463E99"/>
    <w:rsid w:val="00476830"/>
    <w:rsid w:val="0047709A"/>
    <w:rsid w:val="00481B92"/>
    <w:rsid w:val="004825A6"/>
    <w:rsid w:val="00483626"/>
    <w:rsid w:val="004905F9"/>
    <w:rsid w:val="00492598"/>
    <w:rsid w:val="004A14F5"/>
    <w:rsid w:val="004A1B18"/>
    <w:rsid w:val="004A2AC6"/>
    <w:rsid w:val="004A54A1"/>
    <w:rsid w:val="004B3221"/>
    <w:rsid w:val="004B3BEE"/>
    <w:rsid w:val="004B475D"/>
    <w:rsid w:val="004C0AD7"/>
    <w:rsid w:val="004C24FA"/>
    <w:rsid w:val="004C2A28"/>
    <w:rsid w:val="004C3C48"/>
    <w:rsid w:val="004D18C4"/>
    <w:rsid w:val="004D79C3"/>
    <w:rsid w:val="004E05E2"/>
    <w:rsid w:val="004E14C8"/>
    <w:rsid w:val="004E4A2F"/>
    <w:rsid w:val="004F2994"/>
    <w:rsid w:val="004F51D5"/>
    <w:rsid w:val="004F6E28"/>
    <w:rsid w:val="004F706E"/>
    <w:rsid w:val="005107C0"/>
    <w:rsid w:val="00511515"/>
    <w:rsid w:val="00511698"/>
    <w:rsid w:val="005143A5"/>
    <w:rsid w:val="00526E6D"/>
    <w:rsid w:val="00527F86"/>
    <w:rsid w:val="00530D94"/>
    <w:rsid w:val="00531BEE"/>
    <w:rsid w:val="00533C8E"/>
    <w:rsid w:val="00534640"/>
    <w:rsid w:val="00536201"/>
    <w:rsid w:val="00562BB4"/>
    <w:rsid w:val="005655C1"/>
    <w:rsid w:val="005656FD"/>
    <w:rsid w:val="005730BB"/>
    <w:rsid w:val="00577440"/>
    <w:rsid w:val="00580479"/>
    <w:rsid w:val="00583472"/>
    <w:rsid w:val="00585F2B"/>
    <w:rsid w:val="00594272"/>
    <w:rsid w:val="005A0467"/>
    <w:rsid w:val="005B1281"/>
    <w:rsid w:val="005B2D04"/>
    <w:rsid w:val="005B377A"/>
    <w:rsid w:val="005B6062"/>
    <w:rsid w:val="005B6229"/>
    <w:rsid w:val="005C2B2D"/>
    <w:rsid w:val="005C4192"/>
    <w:rsid w:val="005C4615"/>
    <w:rsid w:val="005C6035"/>
    <w:rsid w:val="005D2634"/>
    <w:rsid w:val="005D29CE"/>
    <w:rsid w:val="005D56F1"/>
    <w:rsid w:val="005E0E1F"/>
    <w:rsid w:val="005E1937"/>
    <w:rsid w:val="005E2D13"/>
    <w:rsid w:val="005E66CD"/>
    <w:rsid w:val="005F1584"/>
    <w:rsid w:val="00611CE2"/>
    <w:rsid w:val="00614216"/>
    <w:rsid w:val="00622CCF"/>
    <w:rsid w:val="006337E7"/>
    <w:rsid w:val="006433EA"/>
    <w:rsid w:val="00650E00"/>
    <w:rsid w:val="006617B1"/>
    <w:rsid w:val="00663FD7"/>
    <w:rsid w:val="00665F9A"/>
    <w:rsid w:val="006726EF"/>
    <w:rsid w:val="0067512D"/>
    <w:rsid w:val="00682AE4"/>
    <w:rsid w:val="00683C13"/>
    <w:rsid w:val="00683DFB"/>
    <w:rsid w:val="00685864"/>
    <w:rsid w:val="006932E0"/>
    <w:rsid w:val="00693A0E"/>
    <w:rsid w:val="006B18D4"/>
    <w:rsid w:val="006C0FC2"/>
    <w:rsid w:val="006C2421"/>
    <w:rsid w:val="006C75A5"/>
    <w:rsid w:val="006D2B08"/>
    <w:rsid w:val="006D4C8F"/>
    <w:rsid w:val="006D4CC5"/>
    <w:rsid w:val="006E1034"/>
    <w:rsid w:val="006E26E7"/>
    <w:rsid w:val="006E5447"/>
    <w:rsid w:val="006F09C6"/>
    <w:rsid w:val="00713326"/>
    <w:rsid w:val="0071790B"/>
    <w:rsid w:val="00722A05"/>
    <w:rsid w:val="0073094E"/>
    <w:rsid w:val="00732CB1"/>
    <w:rsid w:val="007455C6"/>
    <w:rsid w:val="007461EC"/>
    <w:rsid w:val="00747620"/>
    <w:rsid w:val="00750A69"/>
    <w:rsid w:val="00750BF5"/>
    <w:rsid w:val="0075146C"/>
    <w:rsid w:val="00764B2B"/>
    <w:rsid w:val="00764E1F"/>
    <w:rsid w:val="00765D6A"/>
    <w:rsid w:val="00766199"/>
    <w:rsid w:val="00766BFF"/>
    <w:rsid w:val="007806A1"/>
    <w:rsid w:val="00781CDF"/>
    <w:rsid w:val="00781D4C"/>
    <w:rsid w:val="00782A1B"/>
    <w:rsid w:val="00795763"/>
    <w:rsid w:val="00797532"/>
    <w:rsid w:val="007A0518"/>
    <w:rsid w:val="007A0FE6"/>
    <w:rsid w:val="007A4AD5"/>
    <w:rsid w:val="007B286B"/>
    <w:rsid w:val="007D1B65"/>
    <w:rsid w:val="007D3BA2"/>
    <w:rsid w:val="007D56E7"/>
    <w:rsid w:val="007E052C"/>
    <w:rsid w:val="007E1854"/>
    <w:rsid w:val="007E36C3"/>
    <w:rsid w:val="007E4A85"/>
    <w:rsid w:val="007E5897"/>
    <w:rsid w:val="007E723B"/>
    <w:rsid w:val="007E794E"/>
    <w:rsid w:val="008026B4"/>
    <w:rsid w:val="0080674D"/>
    <w:rsid w:val="00807093"/>
    <w:rsid w:val="008077EF"/>
    <w:rsid w:val="0082197A"/>
    <w:rsid w:val="00825B2A"/>
    <w:rsid w:val="00830073"/>
    <w:rsid w:val="008307D2"/>
    <w:rsid w:val="008346F1"/>
    <w:rsid w:val="00856464"/>
    <w:rsid w:val="008710B0"/>
    <w:rsid w:val="00874DA3"/>
    <w:rsid w:val="008751D4"/>
    <w:rsid w:val="008802DD"/>
    <w:rsid w:val="00880864"/>
    <w:rsid w:val="00880DF6"/>
    <w:rsid w:val="008825AD"/>
    <w:rsid w:val="00884803"/>
    <w:rsid w:val="00896AF1"/>
    <w:rsid w:val="00896F06"/>
    <w:rsid w:val="008A075F"/>
    <w:rsid w:val="008A1A4C"/>
    <w:rsid w:val="008A5282"/>
    <w:rsid w:val="008A6FFC"/>
    <w:rsid w:val="008B1834"/>
    <w:rsid w:val="008B28A9"/>
    <w:rsid w:val="008B5C18"/>
    <w:rsid w:val="008B6299"/>
    <w:rsid w:val="008B7BD1"/>
    <w:rsid w:val="008D0676"/>
    <w:rsid w:val="008D4395"/>
    <w:rsid w:val="008D5831"/>
    <w:rsid w:val="008E09BF"/>
    <w:rsid w:val="008E4497"/>
    <w:rsid w:val="008E5642"/>
    <w:rsid w:val="008E70D0"/>
    <w:rsid w:val="008F4362"/>
    <w:rsid w:val="008F63FA"/>
    <w:rsid w:val="009025C4"/>
    <w:rsid w:val="00902AE3"/>
    <w:rsid w:val="00903EB1"/>
    <w:rsid w:val="009113A6"/>
    <w:rsid w:val="00913749"/>
    <w:rsid w:val="009142A5"/>
    <w:rsid w:val="00914F54"/>
    <w:rsid w:val="0091565A"/>
    <w:rsid w:val="00916ABE"/>
    <w:rsid w:val="00916BF5"/>
    <w:rsid w:val="00920884"/>
    <w:rsid w:val="00920A3E"/>
    <w:rsid w:val="00921029"/>
    <w:rsid w:val="00930246"/>
    <w:rsid w:val="00944F0B"/>
    <w:rsid w:val="00945868"/>
    <w:rsid w:val="009504B5"/>
    <w:rsid w:val="00950718"/>
    <w:rsid w:val="0095658A"/>
    <w:rsid w:val="00962F9D"/>
    <w:rsid w:val="00964086"/>
    <w:rsid w:val="0096484E"/>
    <w:rsid w:val="00970B5B"/>
    <w:rsid w:val="0097381E"/>
    <w:rsid w:val="0097570C"/>
    <w:rsid w:val="009901AF"/>
    <w:rsid w:val="00992467"/>
    <w:rsid w:val="009A6519"/>
    <w:rsid w:val="009A6760"/>
    <w:rsid w:val="009C5E89"/>
    <w:rsid w:val="009D07B6"/>
    <w:rsid w:val="009D2000"/>
    <w:rsid w:val="009D43A2"/>
    <w:rsid w:val="009D5E67"/>
    <w:rsid w:val="009D6EDF"/>
    <w:rsid w:val="009E5166"/>
    <w:rsid w:val="009E7FAD"/>
    <w:rsid w:val="009F1283"/>
    <w:rsid w:val="009F2289"/>
    <w:rsid w:val="009F71E9"/>
    <w:rsid w:val="00A0257A"/>
    <w:rsid w:val="00A12AAD"/>
    <w:rsid w:val="00A15B0D"/>
    <w:rsid w:val="00A201E3"/>
    <w:rsid w:val="00A27489"/>
    <w:rsid w:val="00A2771B"/>
    <w:rsid w:val="00A27F11"/>
    <w:rsid w:val="00A5215B"/>
    <w:rsid w:val="00A532F8"/>
    <w:rsid w:val="00A70524"/>
    <w:rsid w:val="00A72D7E"/>
    <w:rsid w:val="00A84EAF"/>
    <w:rsid w:val="00A93031"/>
    <w:rsid w:val="00AA6D1F"/>
    <w:rsid w:val="00AB1213"/>
    <w:rsid w:val="00AB2617"/>
    <w:rsid w:val="00AB5653"/>
    <w:rsid w:val="00AD161E"/>
    <w:rsid w:val="00AD2ECD"/>
    <w:rsid w:val="00AD77A2"/>
    <w:rsid w:val="00AE4099"/>
    <w:rsid w:val="00AE461E"/>
    <w:rsid w:val="00AE5F07"/>
    <w:rsid w:val="00AE78BA"/>
    <w:rsid w:val="00B0044D"/>
    <w:rsid w:val="00B050C9"/>
    <w:rsid w:val="00B10832"/>
    <w:rsid w:val="00B168B6"/>
    <w:rsid w:val="00B26858"/>
    <w:rsid w:val="00B26EAC"/>
    <w:rsid w:val="00B3314F"/>
    <w:rsid w:val="00B34FC8"/>
    <w:rsid w:val="00B40F7A"/>
    <w:rsid w:val="00B51B7D"/>
    <w:rsid w:val="00B56A9F"/>
    <w:rsid w:val="00B56D5C"/>
    <w:rsid w:val="00B612D6"/>
    <w:rsid w:val="00B71681"/>
    <w:rsid w:val="00B7447F"/>
    <w:rsid w:val="00B76982"/>
    <w:rsid w:val="00B77AFD"/>
    <w:rsid w:val="00B84777"/>
    <w:rsid w:val="00B8562B"/>
    <w:rsid w:val="00B87741"/>
    <w:rsid w:val="00B90680"/>
    <w:rsid w:val="00B9257F"/>
    <w:rsid w:val="00B93F42"/>
    <w:rsid w:val="00B95E1C"/>
    <w:rsid w:val="00BB6398"/>
    <w:rsid w:val="00BB6CEF"/>
    <w:rsid w:val="00BB6D50"/>
    <w:rsid w:val="00BB71A2"/>
    <w:rsid w:val="00BB786E"/>
    <w:rsid w:val="00BC0F3A"/>
    <w:rsid w:val="00BC28E9"/>
    <w:rsid w:val="00BD150C"/>
    <w:rsid w:val="00BD6E78"/>
    <w:rsid w:val="00BE0B6A"/>
    <w:rsid w:val="00BE1457"/>
    <w:rsid w:val="00BE731F"/>
    <w:rsid w:val="00C0283B"/>
    <w:rsid w:val="00C12705"/>
    <w:rsid w:val="00C17411"/>
    <w:rsid w:val="00C23102"/>
    <w:rsid w:val="00C24C9A"/>
    <w:rsid w:val="00C25F53"/>
    <w:rsid w:val="00C325F6"/>
    <w:rsid w:val="00C4549A"/>
    <w:rsid w:val="00C46723"/>
    <w:rsid w:val="00C54774"/>
    <w:rsid w:val="00C57309"/>
    <w:rsid w:val="00C57A27"/>
    <w:rsid w:val="00C61060"/>
    <w:rsid w:val="00C7276C"/>
    <w:rsid w:val="00C76191"/>
    <w:rsid w:val="00C7742D"/>
    <w:rsid w:val="00C84703"/>
    <w:rsid w:val="00C85EE8"/>
    <w:rsid w:val="00C874DA"/>
    <w:rsid w:val="00C96B24"/>
    <w:rsid w:val="00CA2D82"/>
    <w:rsid w:val="00CA50EF"/>
    <w:rsid w:val="00CC2616"/>
    <w:rsid w:val="00CD04DC"/>
    <w:rsid w:val="00CD7D57"/>
    <w:rsid w:val="00CD7D64"/>
    <w:rsid w:val="00CE36D2"/>
    <w:rsid w:val="00CE6491"/>
    <w:rsid w:val="00CF1FF6"/>
    <w:rsid w:val="00CF242E"/>
    <w:rsid w:val="00CF5077"/>
    <w:rsid w:val="00CF54FD"/>
    <w:rsid w:val="00CF70E5"/>
    <w:rsid w:val="00CF7EC1"/>
    <w:rsid w:val="00D07EAE"/>
    <w:rsid w:val="00D104F2"/>
    <w:rsid w:val="00D10792"/>
    <w:rsid w:val="00D1314C"/>
    <w:rsid w:val="00D177D2"/>
    <w:rsid w:val="00D228B4"/>
    <w:rsid w:val="00D27AD5"/>
    <w:rsid w:val="00D40353"/>
    <w:rsid w:val="00D42B3F"/>
    <w:rsid w:val="00D43543"/>
    <w:rsid w:val="00D530B0"/>
    <w:rsid w:val="00D5333A"/>
    <w:rsid w:val="00D53E14"/>
    <w:rsid w:val="00D5654B"/>
    <w:rsid w:val="00D56771"/>
    <w:rsid w:val="00D673D5"/>
    <w:rsid w:val="00D67A7E"/>
    <w:rsid w:val="00D72DA6"/>
    <w:rsid w:val="00D87D59"/>
    <w:rsid w:val="00D91956"/>
    <w:rsid w:val="00DA109E"/>
    <w:rsid w:val="00DA6908"/>
    <w:rsid w:val="00DA76BB"/>
    <w:rsid w:val="00DB0863"/>
    <w:rsid w:val="00DB1073"/>
    <w:rsid w:val="00DC2A3F"/>
    <w:rsid w:val="00DD2C0B"/>
    <w:rsid w:val="00DD3CB9"/>
    <w:rsid w:val="00DD686A"/>
    <w:rsid w:val="00DD6B10"/>
    <w:rsid w:val="00DE2590"/>
    <w:rsid w:val="00DE3A3F"/>
    <w:rsid w:val="00DE5877"/>
    <w:rsid w:val="00DF0089"/>
    <w:rsid w:val="00DF0C17"/>
    <w:rsid w:val="00DF3155"/>
    <w:rsid w:val="00DF4F70"/>
    <w:rsid w:val="00E003D7"/>
    <w:rsid w:val="00E0302F"/>
    <w:rsid w:val="00E06F34"/>
    <w:rsid w:val="00E11DCE"/>
    <w:rsid w:val="00E21247"/>
    <w:rsid w:val="00E21A56"/>
    <w:rsid w:val="00E32F15"/>
    <w:rsid w:val="00E37A04"/>
    <w:rsid w:val="00E40B50"/>
    <w:rsid w:val="00E4128A"/>
    <w:rsid w:val="00E4755C"/>
    <w:rsid w:val="00E5053C"/>
    <w:rsid w:val="00E50EFF"/>
    <w:rsid w:val="00E51434"/>
    <w:rsid w:val="00E55911"/>
    <w:rsid w:val="00E601A1"/>
    <w:rsid w:val="00E631DC"/>
    <w:rsid w:val="00E727DE"/>
    <w:rsid w:val="00E75B8F"/>
    <w:rsid w:val="00E80DB8"/>
    <w:rsid w:val="00E96524"/>
    <w:rsid w:val="00E96DE7"/>
    <w:rsid w:val="00E97E4C"/>
    <w:rsid w:val="00EA228C"/>
    <w:rsid w:val="00EB0F5E"/>
    <w:rsid w:val="00EB2CD3"/>
    <w:rsid w:val="00EC5612"/>
    <w:rsid w:val="00EC5EC6"/>
    <w:rsid w:val="00ED01BC"/>
    <w:rsid w:val="00ED5586"/>
    <w:rsid w:val="00EE09DA"/>
    <w:rsid w:val="00EE6A8D"/>
    <w:rsid w:val="00EF793C"/>
    <w:rsid w:val="00F02C2D"/>
    <w:rsid w:val="00F04035"/>
    <w:rsid w:val="00F12CC9"/>
    <w:rsid w:val="00F156E0"/>
    <w:rsid w:val="00F3395D"/>
    <w:rsid w:val="00F34259"/>
    <w:rsid w:val="00F36C2C"/>
    <w:rsid w:val="00F410BE"/>
    <w:rsid w:val="00F42ADE"/>
    <w:rsid w:val="00F43403"/>
    <w:rsid w:val="00F43432"/>
    <w:rsid w:val="00F4727E"/>
    <w:rsid w:val="00F52E71"/>
    <w:rsid w:val="00F5473D"/>
    <w:rsid w:val="00F54B81"/>
    <w:rsid w:val="00F56008"/>
    <w:rsid w:val="00F63E91"/>
    <w:rsid w:val="00F75717"/>
    <w:rsid w:val="00F81D12"/>
    <w:rsid w:val="00F81F2A"/>
    <w:rsid w:val="00F827E9"/>
    <w:rsid w:val="00FA30BA"/>
    <w:rsid w:val="00FA4781"/>
    <w:rsid w:val="00FB129A"/>
    <w:rsid w:val="00FB233D"/>
    <w:rsid w:val="00FB5385"/>
    <w:rsid w:val="00FB59CC"/>
    <w:rsid w:val="00FC063D"/>
    <w:rsid w:val="00FC0BEA"/>
    <w:rsid w:val="00FC0E8B"/>
    <w:rsid w:val="00FC1E35"/>
    <w:rsid w:val="00FC5037"/>
    <w:rsid w:val="00FD36D5"/>
    <w:rsid w:val="00FD7305"/>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15:docId w15:val="{4ADA3489-3791-4CC7-9986-37322F6B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3.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952</Words>
  <Characters>6488</Characters>
  <Application>Microsoft Office Word</Application>
  <DocSecurity>0</DocSecurity>
  <PresentationFormat/>
  <Lines>141</Lines>
  <Paragraphs>56</Paragraphs>
  <ScaleCrop>false</ScaleCrop>
  <HeadingPairs>
    <vt:vector size="2" baseType="variant">
      <vt:variant>
        <vt:lpstr>Title</vt:lpstr>
      </vt:variant>
      <vt:variant>
        <vt:i4>1</vt:i4>
      </vt:variant>
    </vt:vector>
  </HeadingPairs>
  <TitlesOfParts>
    <vt:vector size="1" baseType="lpstr">
      <vt:lpstr>[Insert MBO Name]</vt:lpstr>
    </vt:vector>
  </TitlesOfParts>
  <Company>Trinity Health</Company>
  <LinksUpToDate>false</LinksUpToDate>
  <CharactersWithSpaces>7384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Gary Hodge</dc:creator>
  <cp:lastModifiedBy>Gary Hodge</cp:lastModifiedBy>
  <cp:revision>53</cp:revision>
  <cp:lastPrinted>2006-01-17T17:34:00Z</cp:lastPrinted>
  <dcterms:created xsi:type="dcterms:W3CDTF">2025-12-19T15:37:00Z</dcterms:created>
  <dcterms:modified xsi:type="dcterms:W3CDTF">2025-12-19T16:46:00Z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