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0089C8F5" w14:textId="065681D2" w:rsidR="00C96B24" w:rsidRPr="003E1C39" w:rsidRDefault="0002269F" w:rsidP="00C96B24">
            <w:pPr>
              <w:pStyle w:val="NoSpacing"/>
              <w:rPr>
                <w:b/>
              </w:rPr>
            </w:pPr>
            <w:r w:rsidRPr="004B3221">
              <w:rPr>
                <w:b/>
              </w:rPr>
              <w:t>Policy Title</w:t>
            </w:r>
            <w:r w:rsidR="004B3221">
              <w:rPr>
                <w:b/>
              </w:rPr>
              <w:t>:</w:t>
            </w:r>
            <w:r w:rsidR="00921029">
              <w:rPr>
                <w:b/>
              </w:rPr>
              <w:t xml:space="preserve"> </w:t>
            </w:r>
            <w:r w:rsidR="003E1C39">
              <w:rPr>
                <w:b/>
              </w:rPr>
              <w:t xml:space="preserve">Clinical and Education Work Hours </w:t>
            </w:r>
          </w:p>
        </w:tc>
        <w:tc>
          <w:tcPr>
            <w:tcW w:w="4765" w:type="dxa"/>
          </w:tcPr>
          <w:p w14:paraId="0089C8F6" w14:textId="7E62BD98" w:rsidR="00D228B4" w:rsidRPr="004B3221" w:rsidRDefault="00127FA1" w:rsidP="00127FA1">
            <w:pPr>
              <w:pStyle w:val="NoSpacing"/>
              <w:rPr>
                <w:b/>
                <w:szCs w:val="24"/>
              </w:rPr>
            </w:pPr>
            <w:r>
              <w:rPr>
                <w:b/>
                <w:szCs w:val="24"/>
              </w:rPr>
              <w:t xml:space="preserve">     </w:t>
            </w:r>
            <w:r w:rsidR="00C96B24" w:rsidRPr="004B3221">
              <w:rPr>
                <w:b/>
                <w:szCs w:val="24"/>
              </w:rPr>
              <w:t>Effective Date:</w:t>
            </w:r>
            <w:r w:rsidR="00921029">
              <w:rPr>
                <w:b/>
                <w:szCs w:val="24"/>
              </w:rPr>
              <w:t xml:space="preserve"> </w:t>
            </w:r>
          </w:p>
          <w:p w14:paraId="0089C8F7" w14:textId="69847883" w:rsidR="00C96B24" w:rsidRPr="004B3221" w:rsidRDefault="00C96B24" w:rsidP="00C96B24">
            <w:pPr>
              <w:pStyle w:val="NoSpacing"/>
              <w:jc w:val="right"/>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053C33FC"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Content>
                <w:r w:rsidR="003E1C39">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4933186C"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1"/>
                  <w14:checkedState w14:val="2612" w14:font="MS Gothic"/>
                  <w14:uncheckedState w14:val="2610" w14:font="MS Gothic"/>
                </w14:checkbox>
              </w:sdtPr>
              <w:sdtContent>
                <w:r w:rsidR="00127FA1">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1E8F3B13"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Content>
                <w:r w:rsidR="003E1C39">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127FA1">
            <w:pPr>
              <w:pStyle w:val="NoSpacing"/>
              <w:rPr>
                <w14:textOutline w14:w="9525" w14:cap="rnd" w14:cmpd="sng" w14:algn="ctr">
                  <w14:noFill/>
                  <w14:prstDash w14:val="solid"/>
                  <w14:bevel/>
                </w14:textOutline>
              </w:rPr>
            </w:pPr>
            <w:r w:rsidRPr="004B3221">
              <w:rPr>
                <w:b/>
                <w:i/>
                <w:szCs w:val="24"/>
              </w:rPr>
              <w:t>To be reviewed every three years by:</w:t>
            </w:r>
          </w:p>
          <w:p w14:paraId="0089C903" w14:textId="359A4CD6" w:rsidR="00C96B24" w:rsidRPr="004B3221" w:rsidRDefault="00C96B24" w:rsidP="00C96B24">
            <w:pPr>
              <w:jc w:val="right"/>
              <w:rPr>
                <w:i/>
                <w:szCs w:val="24"/>
              </w:rPr>
            </w:pPr>
          </w:p>
          <w:p w14:paraId="0089C905" w14:textId="009BE3BB" w:rsidR="00C96B24" w:rsidRPr="004B3221" w:rsidRDefault="00C96B24" w:rsidP="00DE3A3F">
            <w:pPr>
              <w:pStyle w:val="NoSpacing"/>
              <w:rPr>
                <w14:textOutline w14:w="9525" w14:cap="rnd" w14:cmpd="sng" w14:algn="ctr">
                  <w14:noFill/>
                  <w14:prstDash w14:val="solid"/>
                  <w14:bevel/>
                </w14:textOutline>
              </w:rPr>
            </w:pPr>
            <w:r w:rsidRPr="004B3221">
              <w:rPr>
                <w:b/>
                <w:szCs w:val="24"/>
              </w:rPr>
              <w:t>Review By:</w:t>
            </w:r>
            <w:r w:rsidR="00921029">
              <w:rPr>
                <w:b/>
                <w:szCs w:val="24"/>
              </w:rPr>
              <w:t xml:space="preserve"> </w:t>
            </w:r>
          </w:p>
        </w:tc>
      </w:tr>
    </w:tbl>
    <w:p w14:paraId="0089C907" w14:textId="77777777" w:rsidR="006337E7" w:rsidRPr="004B3221" w:rsidRDefault="006337E7" w:rsidP="0040291F">
      <w:pPr>
        <w:pStyle w:val="CommentText"/>
        <w:pBdr>
          <w:bottom w:val="single" w:sz="18" w:space="0" w:color="auto"/>
        </w:pBdr>
        <w:jc w:val="left"/>
        <w:rPr>
          <w:b/>
          <w:i/>
          <w:szCs w:val="24"/>
        </w:rPr>
      </w:pPr>
    </w:p>
    <w:p w14:paraId="44136624" w14:textId="4CF07773" w:rsidR="007D56E7" w:rsidRPr="003E1C39" w:rsidRDefault="007D56E7" w:rsidP="00921029">
      <w:pPr>
        <w:pStyle w:val="NoSpacing"/>
      </w:pPr>
      <w:r w:rsidRPr="00921029">
        <w:rPr>
          <w:b/>
          <w:bCs/>
        </w:rPr>
        <w:t>PURPOSE</w:t>
      </w:r>
      <w:r w:rsidR="003E1C39">
        <w:rPr>
          <w:b/>
          <w:bCs/>
        </w:rPr>
        <w:t xml:space="preserve">:  </w:t>
      </w:r>
      <w:r w:rsidR="003E1C39">
        <w:t>To standardize the Department of General Surgery Resident Clinical and Education Work Hours.</w:t>
      </w:r>
    </w:p>
    <w:p w14:paraId="45FCFA8D" w14:textId="77777777" w:rsidR="00921029" w:rsidRPr="004B3221" w:rsidRDefault="00921029" w:rsidP="00921029">
      <w:pPr>
        <w:pStyle w:val="NoSpacing"/>
        <w:rPr>
          <w:b/>
        </w:rPr>
      </w:pPr>
    </w:p>
    <w:p w14:paraId="0089C908" w14:textId="402363CC" w:rsidR="003E4A8F" w:rsidRDefault="003E4A8F" w:rsidP="00921029">
      <w:pPr>
        <w:pStyle w:val="NoSpacing"/>
        <w:rPr>
          <w:b/>
          <w:bCs/>
        </w:rPr>
      </w:pPr>
      <w:r w:rsidRPr="00921029">
        <w:rPr>
          <w:b/>
          <w:bCs/>
        </w:rPr>
        <w:t>POLICY</w:t>
      </w:r>
    </w:p>
    <w:p w14:paraId="0895A33B" w14:textId="77777777" w:rsidR="003E1C39" w:rsidRDefault="003E1C39" w:rsidP="003E1C39">
      <w:pPr>
        <w:pStyle w:val="NoSpacing"/>
        <w:rPr>
          <w:b/>
          <w:bCs/>
        </w:rPr>
      </w:pPr>
      <w:r>
        <w:rPr>
          <w:b/>
          <w:bCs/>
        </w:rPr>
        <w:t>Mandatory Time Free of Clinical Work and Education</w:t>
      </w:r>
    </w:p>
    <w:p w14:paraId="6FA3CEA5" w14:textId="77777777" w:rsidR="003E1C39" w:rsidRPr="001F22E9" w:rsidRDefault="003E1C39" w:rsidP="003E1C39">
      <w:pPr>
        <w:pStyle w:val="NoSpacing"/>
        <w:numPr>
          <w:ilvl w:val="0"/>
          <w:numId w:val="18"/>
        </w:numPr>
        <w:autoSpaceDE/>
        <w:autoSpaceDN/>
        <w:adjustRightInd/>
        <w:jc w:val="left"/>
      </w:pPr>
      <w:r w:rsidRPr="001F22E9">
        <w:t>The program must design an effective program structure that is configured to provide residents with educational opportunities, as well as reasonable opportunities for rest and personal well-being.</w:t>
      </w:r>
    </w:p>
    <w:p w14:paraId="7A3B8354" w14:textId="77777777" w:rsidR="003E1C39" w:rsidRPr="001F22E9" w:rsidRDefault="003E1C39" w:rsidP="003E1C39">
      <w:pPr>
        <w:pStyle w:val="ListParagraph"/>
        <w:numPr>
          <w:ilvl w:val="0"/>
          <w:numId w:val="18"/>
        </w:numPr>
        <w:autoSpaceDE/>
        <w:autoSpaceDN/>
        <w:adjustRightInd/>
        <w:spacing w:after="160" w:line="259" w:lineRule="auto"/>
        <w:contextualSpacing/>
        <w:jc w:val="left"/>
        <w:rPr>
          <w:b/>
          <w:bCs/>
        </w:rPr>
      </w:pPr>
      <w:r>
        <w:t>Residents should have eight (8) hours off between scheduled clinical work and education periods.</w:t>
      </w:r>
    </w:p>
    <w:p w14:paraId="582A233A" w14:textId="77777777" w:rsidR="003E1C39" w:rsidRPr="001F22E9" w:rsidRDefault="003E1C39" w:rsidP="003E1C39">
      <w:pPr>
        <w:pStyle w:val="ListParagraph"/>
        <w:numPr>
          <w:ilvl w:val="0"/>
          <w:numId w:val="18"/>
        </w:numPr>
        <w:autoSpaceDE/>
        <w:autoSpaceDN/>
        <w:adjustRightInd/>
        <w:spacing w:after="160" w:line="259" w:lineRule="auto"/>
        <w:contextualSpacing/>
        <w:jc w:val="left"/>
        <w:rPr>
          <w:b/>
          <w:bCs/>
        </w:rPr>
      </w:pPr>
      <w:r>
        <w:t>There may be circumstances when residents choose to stay to care for their patients or return to the hospital with fewer that eight (8) hours free of clinical experience and education.  This must occur within the context of the 80-hour and the one-day-off-in-seven requirements.</w:t>
      </w:r>
    </w:p>
    <w:p w14:paraId="63964FB2" w14:textId="77777777" w:rsidR="003E1C39" w:rsidRPr="001F22E9" w:rsidRDefault="003E1C39" w:rsidP="003E1C39">
      <w:pPr>
        <w:pStyle w:val="ListParagraph"/>
        <w:numPr>
          <w:ilvl w:val="0"/>
          <w:numId w:val="18"/>
        </w:numPr>
        <w:autoSpaceDE/>
        <w:autoSpaceDN/>
        <w:adjustRightInd/>
        <w:spacing w:after="160" w:line="259" w:lineRule="auto"/>
        <w:contextualSpacing/>
        <w:jc w:val="left"/>
        <w:rPr>
          <w:b/>
          <w:bCs/>
        </w:rPr>
      </w:pPr>
      <w:r>
        <w:t>Residents must have at least 14 hours free of clinical work and education after 24 hours of in-house call.</w:t>
      </w:r>
    </w:p>
    <w:p w14:paraId="187C4186" w14:textId="77777777" w:rsidR="003E1C39" w:rsidRPr="001F22E9" w:rsidRDefault="003E1C39" w:rsidP="003E1C39">
      <w:pPr>
        <w:pStyle w:val="ListParagraph"/>
        <w:numPr>
          <w:ilvl w:val="0"/>
          <w:numId w:val="18"/>
        </w:numPr>
        <w:autoSpaceDE/>
        <w:autoSpaceDN/>
        <w:adjustRightInd/>
        <w:spacing w:after="160" w:line="259" w:lineRule="auto"/>
        <w:contextualSpacing/>
        <w:jc w:val="left"/>
        <w:rPr>
          <w:b/>
          <w:bCs/>
        </w:rPr>
      </w:pPr>
      <w:r>
        <w:t>Residents must be scheduled for a minimum of one day in seven free of clinical work and required education (when averaged over four weeks).  At-home call cannot be assigned on these free days.</w:t>
      </w:r>
    </w:p>
    <w:p w14:paraId="71EA6DB2" w14:textId="77777777" w:rsidR="003E1C39" w:rsidRDefault="003E1C39" w:rsidP="003E1C39">
      <w:pPr>
        <w:pStyle w:val="NoSpacing"/>
        <w:rPr>
          <w:b/>
          <w:bCs/>
        </w:rPr>
      </w:pPr>
      <w:r>
        <w:rPr>
          <w:b/>
          <w:bCs/>
        </w:rPr>
        <w:t>Maximum Clinical Work and Education Period Length</w:t>
      </w:r>
    </w:p>
    <w:p w14:paraId="497F3276" w14:textId="77777777" w:rsidR="003E1C39" w:rsidRPr="001F22E9" w:rsidRDefault="003E1C39" w:rsidP="003E1C39">
      <w:pPr>
        <w:pStyle w:val="NoSpacing"/>
        <w:numPr>
          <w:ilvl w:val="0"/>
          <w:numId w:val="19"/>
        </w:numPr>
        <w:autoSpaceDE/>
        <w:autoSpaceDN/>
        <w:adjustRightInd/>
        <w:jc w:val="left"/>
        <w:rPr>
          <w:b/>
          <w:bCs/>
        </w:rPr>
      </w:pPr>
      <w:r>
        <w:t>Clinical and educational work periods for residents must not exceed 24 hours of continuous scheduled clinical assignments.</w:t>
      </w:r>
    </w:p>
    <w:p w14:paraId="2FBFA8D1" w14:textId="77777777" w:rsidR="003E1C39" w:rsidRPr="00290D56" w:rsidRDefault="003E1C39" w:rsidP="003E1C39">
      <w:pPr>
        <w:pStyle w:val="ListParagraph"/>
        <w:numPr>
          <w:ilvl w:val="0"/>
          <w:numId w:val="16"/>
        </w:numPr>
        <w:autoSpaceDE/>
        <w:autoSpaceDN/>
        <w:adjustRightInd/>
        <w:spacing w:after="160" w:line="259" w:lineRule="auto"/>
        <w:contextualSpacing/>
        <w:jc w:val="left"/>
        <w:rPr>
          <w:b/>
          <w:bCs/>
        </w:rPr>
      </w:pPr>
      <w:r>
        <w:t>Up to four (4) hours of additional time may be used for activities related to patient safety, such as providing effective transitions of care, and/or resident education.</w:t>
      </w:r>
    </w:p>
    <w:p w14:paraId="66BC2C7F" w14:textId="77777777" w:rsidR="003E1C39" w:rsidRPr="00CA50EF" w:rsidRDefault="003E1C39" w:rsidP="003E1C39">
      <w:pPr>
        <w:pStyle w:val="ListParagraph"/>
        <w:numPr>
          <w:ilvl w:val="0"/>
          <w:numId w:val="16"/>
        </w:numPr>
        <w:autoSpaceDE/>
        <w:autoSpaceDN/>
        <w:adjustRightInd/>
        <w:spacing w:after="160" w:line="259" w:lineRule="auto"/>
        <w:contextualSpacing/>
        <w:jc w:val="left"/>
        <w:rPr>
          <w:b/>
          <w:bCs/>
        </w:rPr>
      </w:pPr>
      <w:r>
        <w:t>Additional patient care responsibilities must not be assigned to a resident during this time.</w:t>
      </w:r>
    </w:p>
    <w:p w14:paraId="7DBE67F1" w14:textId="19128907" w:rsidR="00CA50EF" w:rsidRPr="00290D56" w:rsidRDefault="00CA50EF" w:rsidP="003E1C39">
      <w:pPr>
        <w:pStyle w:val="ListParagraph"/>
        <w:numPr>
          <w:ilvl w:val="0"/>
          <w:numId w:val="16"/>
        </w:numPr>
        <w:autoSpaceDE/>
        <w:autoSpaceDN/>
        <w:adjustRightInd/>
        <w:spacing w:after="160" w:line="259" w:lineRule="auto"/>
        <w:contextualSpacing/>
        <w:jc w:val="left"/>
        <w:rPr>
          <w:b/>
          <w:bCs/>
        </w:rPr>
      </w:pPr>
      <w:bookmarkStart w:id="0" w:name="_Hlk217032386"/>
      <w:r>
        <w:t xml:space="preserve">Residents must not </w:t>
      </w:r>
      <w:r w:rsidR="00FA4781">
        <w:t xml:space="preserve">be </w:t>
      </w:r>
      <w:r>
        <w:t xml:space="preserve">scheduled </w:t>
      </w:r>
      <w:r w:rsidR="00914F54">
        <w:t>for overnight (on-call) duties more frequently than every third night (when averaged over</w:t>
      </w:r>
      <w:r w:rsidR="00FA4781">
        <w:t xml:space="preserve"> four weeks).</w:t>
      </w:r>
    </w:p>
    <w:bookmarkEnd w:id="0"/>
    <w:p w14:paraId="5C03E46B" w14:textId="77777777" w:rsidR="003E1C39" w:rsidRPr="001F22E9" w:rsidRDefault="003E1C39" w:rsidP="003E1C39">
      <w:pPr>
        <w:pStyle w:val="NoSpacing"/>
        <w:rPr>
          <w:b/>
          <w:bCs/>
        </w:rPr>
      </w:pPr>
      <w:r w:rsidRPr="001F22E9">
        <w:rPr>
          <w:b/>
          <w:bCs/>
        </w:rPr>
        <w:t>Clinical and Educational Work Hour Exceptions</w:t>
      </w:r>
    </w:p>
    <w:p w14:paraId="1C5EC65F" w14:textId="77777777" w:rsidR="003E1C39" w:rsidRPr="00290D56" w:rsidRDefault="003E1C39" w:rsidP="003E1C39">
      <w:pPr>
        <w:pStyle w:val="ListParagraph"/>
        <w:numPr>
          <w:ilvl w:val="0"/>
          <w:numId w:val="16"/>
        </w:numPr>
        <w:autoSpaceDE/>
        <w:autoSpaceDN/>
        <w:adjustRightInd/>
        <w:spacing w:after="160" w:line="259" w:lineRule="auto"/>
        <w:contextualSpacing/>
        <w:jc w:val="left"/>
        <w:rPr>
          <w:b/>
          <w:bCs/>
        </w:rPr>
      </w:pPr>
      <w:r>
        <w:lastRenderedPageBreak/>
        <w:t>In rare circumstances, after handing off all other responsibilities, a resident, on their own initiative, may elect to remain or return to the clinical site in the following circumstances:</w:t>
      </w:r>
    </w:p>
    <w:p w14:paraId="7AECFAC2" w14:textId="77777777" w:rsidR="003E1C39" w:rsidRPr="00290D56" w:rsidRDefault="003E1C39" w:rsidP="003E1C39">
      <w:pPr>
        <w:pStyle w:val="ListParagraph"/>
        <w:numPr>
          <w:ilvl w:val="1"/>
          <w:numId w:val="16"/>
        </w:numPr>
        <w:autoSpaceDE/>
        <w:autoSpaceDN/>
        <w:adjustRightInd/>
        <w:spacing w:after="160" w:line="259" w:lineRule="auto"/>
        <w:contextualSpacing/>
        <w:jc w:val="left"/>
        <w:rPr>
          <w:b/>
          <w:bCs/>
        </w:rPr>
      </w:pPr>
      <w:r>
        <w:t>to continue to provide care to a single severely ill or unstable patient;</w:t>
      </w:r>
    </w:p>
    <w:p w14:paraId="705CD2EB" w14:textId="77777777" w:rsidR="003E1C39" w:rsidRDefault="003E1C39" w:rsidP="003E1C39">
      <w:pPr>
        <w:pStyle w:val="ListParagraph"/>
        <w:numPr>
          <w:ilvl w:val="1"/>
          <w:numId w:val="16"/>
        </w:numPr>
        <w:autoSpaceDE/>
        <w:autoSpaceDN/>
        <w:adjustRightInd/>
        <w:spacing w:after="160" w:line="259" w:lineRule="auto"/>
        <w:contextualSpacing/>
        <w:jc w:val="left"/>
      </w:pPr>
      <w:r w:rsidRPr="00290D56">
        <w:t>humanistic attention to the needs of a patient or family; or</w:t>
      </w:r>
    </w:p>
    <w:p w14:paraId="341477AF" w14:textId="77777777" w:rsidR="003E1C39" w:rsidRDefault="003E1C39" w:rsidP="003E1C39">
      <w:pPr>
        <w:pStyle w:val="ListParagraph"/>
        <w:numPr>
          <w:ilvl w:val="1"/>
          <w:numId w:val="16"/>
        </w:numPr>
        <w:autoSpaceDE/>
        <w:autoSpaceDN/>
        <w:adjustRightInd/>
        <w:spacing w:after="160" w:line="259" w:lineRule="auto"/>
        <w:contextualSpacing/>
        <w:jc w:val="left"/>
      </w:pPr>
      <w:r>
        <w:t>to attend unique educational events.</w:t>
      </w:r>
    </w:p>
    <w:p w14:paraId="10404739" w14:textId="77777777" w:rsidR="003E1C39" w:rsidRDefault="003E1C39" w:rsidP="003E1C39">
      <w:pPr>
        <w:pStyle w:val="ListParagraph"/>
        <w:numPr>
          <w:ilvl w:val="0"/>
          <w:numId w:val="17"/>
        </w:numPr>
        <w:autoSpaceDE/>
        <w:autoSpaceDN/>
        <w:adjustRightInd/>
        <w:spacing w:after="160" w:line="259" w:lineRule="auto"/>
        <w:contextualSpacing/>
        <w:jc w:val="left"/>
      </w:pPr>
      <w:r>
        <w:t>These additional hours of care or education will be counted toward the 80-hour weekly limit.</w:t>
      </w:r>
    </w:p>
    <w:p w14:paraId="0CF91699" w14:textId="77777777" w:rsidR="003E1C39" w:rsidRDefault="003E1C39" w:rsidP="003E1C39">
      <w:pPr>
        <w:pStyle w:val="NoSpacing"/>
        <w:rPr>
          <w:b/>
          <w:bCs/>
        </w:rPr>
      </w:pPr>
      <w:r w:rsidRPr="001F22E9">
        <w:rPr>
          <w:b/>
          <w:bCs/>
        </w:rPr>
        <w:t>Maximum In-</w:t>
      </w:r>
      <w:r>
        <w:rPr>
          <w:b/>
          <w:bCs/>
        </w:rPr>
        <w:t>H</w:t>
      </w:r>
      <w:r w:rsidRPr="001F22E9">
        <w:rPr>
          <w:b/>
          <w:bCs/>
        </w:rPr>
        <w:t xml:space="preserve">ouse </w:t>
      </w:r>
      <w:r>
        <w:rPr>
          <w:b/>
          <w:bCs/>
        </w:rPr>
        <w:t>O</w:t>
      </w:r>
      <w:r w:rsidRPr="001F22E9">
        <w:rPr>
          <w:b/>
          <w:bCs/>
        </w:rPr>
        <w:t>n-</w:t>
      </w:r>
      <w:r>
        <w:rPr>
          <w:b/>
          <w:bCs/>
        </w:rPr>
        <w:t>C</w:t>
      </w:r>
      <w:r w:rsidRPr="001F22E9">
        <w:rPr>
          <w:b/>
          <w:bCs/>
        </w:rPr>
        <w:t xml:space="preserve">all </w:t>
      </w:r>
      <w:r>
        <w:rPr>
          <w:b/>
          <w:bCs/>
        </w:rPr>
        <w:t>F</w:t>
      </w:r>
      <w:r w:rsidRPr="001F22E9">
        <w:rPr>
          <w:b/>
          <w:bCs/>
        </w:rPr>
        <w:t>requency</w:t>
      </w:r>
    </w:p>
    <w:p w14:paraId="4AE4AA99" w14:textId="77777777" w:rsidR="003E1C39" w:rsidRPr="001F22E9" w:rsidRDefault="003E1C39" w:rsidP="003E1C39">
      <w:pPr>
        <w:pStyle w:val="NoSpacing"/>
        <w:numPr>
          <w:ilvl w:val="0"/>
          <w:numId w:val="17"/>
        </w:numPr>
        <w:autoSpaceDE/>
        <w:autoSpaceDN/>
        <w:adjustRightInd/>
        <w:jc w:val="left"/>
        <w:rPr>
          <w:b/>
          <w:bCs/>
        </w:rPr>
      </w:pPr>
      <w:r>
        <w:t>Residents must be scheduled for in-house call no more frequently than every third night (when averaged over a four-week period).</w:t>
      </w:r>
    </w:p>
    <w:p w14:paraId="0CBD906C" w14:textId="77777777" w:rsidR="00921029" w:rsidRPr="00921029" w:rsidRDefault="00921029" w:rsidP="00921029">
      <w:pPr>
        <w:pStyle w:val="NoSpacing"/>
        <w:rPr>
          <w:b/>
          <w:bCs/>
        </w:rPr>
      </w:pPr>
    </w:p>
    <w:p w14:paraId="65C271F0" w14:textId="40EC8C03" w:rsidR="003E1C39" w:rsidRDefault="00DD3CB9" w:rsidP="00921029">
      <w:pPr>
        <w:pStyle w:val="NoSpacing"/>
        <w:rPr>
          <w:b/>
          <w:bCs/>
        </w:rPr>
      </w:pPr>
      <w:r w:rsidRPr="00921029">
        <w:rPr>
          <w:b/>
          <w:bCs/>
        </w:rPr>
        <w:t>SCOPE</w:t>
      </w:r>
      <w:r w:rsidR="003E1C39">
        <w:rPr>
          <w:b/>
          <w:bCs/>
        </w:rPr>
        <w:t>:</w:t>
      </w:r>
    </w:p>
    <w:p w14:paraId="78F735E5" w14:textId="58DFE4BC" w:rsidR="003E1C39" w:rsidRPr="003E1C39" w:rsidRDefault="003E1C39" w:rsidP="00921029">
      <w:pPr>
        <w:pStyle w:val="NoSpacing"/>
      </w:pPr>
      <w:r>
        <w:t>General Surgery Residents</w:t>
      </w:r>
    </w:p>
    <w:p w14:paraId="413A60B5" w14:textId="77777777" w:rsidR="00921029" w:rsidRPr="004B3221" w:rsidRDefault="00921029" w:rsidP="00921029">
      <w:pPr>
        <w:pStyle w:val="NoSpacing"/>
      </w:pPr>
    </w:p>
    <w:p w14:paraId="0089C90C" w14:textId="4DC43870" w:rsidR="00C46723" w:rsidRDefault="002E5DD4" w:rsidP="00921029">
      <w:pPr>
        <w:pStyle w:val="NoSpacing"/>
        <w:rPr>
          <w:b/>
          <w:szCs w:val="24"/>
        </w:rPr>
      </w:pPr>
      <w:r w:rsidRPr="00921029">
        <w:rPr>
          <w:b/>
          <w:szCs w:val="24"/>
        </w:rPr>
        <w:t>RESPONSIBLE DEPARTMENT</w:t>
      </w:r>
      <w:r w:rsidR="003E1C39">
        <w:rPr>
          <w:b/>
          <w:szCs w:val="24"/>
        </w:rPr>
        <w:t>:</w:t>
      </w:r>
    </w:p>
    <w:p w14:paraId="7BB6095C" w14:textId="0591CB10" w:rsidR="003E1C39" w:rsidRPr="003E1C39" w:rsidRDefault="003E1C39" w:rsidP="00921029">
      <w:pPr>
        <w:pStyle w:val="NoSpacing"/>
        <w:rPr>
          <w:bCs/>
          <w:szCs w:val="24"/>
        </w:rPr>
      </w:pPr>
      <w:r>
        <w:rPr>
          <w:bCs/>
          <w:szCs w:val="24"/>
        </w:rPr>
        <w:t>General Surgery Department</w:t>
      </w:r>
    </w:p>
    <w:p w14:paraId="5BF3EEAC" w14:textId="77777777" w:rsidR="00BB6CEF" w:rsidRPr="00921029" w:rsidRDefault="00BB6CEF" w:rsidP="00921029">
      <w:pPr>
        <w:pStyle w:val="NoSpacing"/>
        <w:rPr>
          <w:b/>
          <w:szCs w:val="24"/>
        </w:rPr>
      </w:pPr>
    </w:p>
    <w:p w14:paraId="0089C90D" w14:textId="381814C0" w:rsidR="002E5DD4" w:rsidRDefault="002E5DD4" w:rsidP="00921029">
      <w:pPr>
        <w:pStyle w:val="NoSpacing"/>
        <w:rPr>
          <w:b/>
          <w:szCs w:val="24"/>
        </w:rPr>
      </w:pPr>
      <w:r w:rsidRPr="00921029">
        <w:rPr>
          <w:b/>
          <w:szCs w:val="24"/>
        </w:rPr>
        <w:t xml:space="preserve">RELATED </w:t>
      </w:r>
      <w:r w:rsidR="00650E00" w:rsidRPr="00921029">
        <w:rPr>
          <w:b/>
          <w:szCs w:val="24"/>
        </w:rPr>
        <w:t>PROCEDURES AND OTHER MATERIALS</w:t>
      </w:r>
    </w:p>
    <w:p w14:paraId="0EE0E28B" w14:textId="77777777" w:rsidR="00BB6CEF" w:rsidRPr="00921029" w:rsidRDefault="00BB6CEF" w:rsidP="00921029">
      <w:pPr>
        <w:pStyle w:val="NoSpacing"/>
        <w:rPr>
          <w:b/>
          <w:szCs w:val="24"/>
        </w:rPr>
      </w:pPr>
    </w:p>
    <w:p w14:paraId="6513B954" w14:textId="77777777" w:rsidR="003E1C39" w:rsidRPr="009C5383" w:rsidRDefault="003E1C39" w:rsidP="003E1C39">
      <w:pPr>
        <w:rPr>
          <w:rFonts w:cstheme="minorHAnsi"/>
          <w:b/>
          <w:bCs/>
        </w:rPr>
      </w:pPr>
      <w:r w:rsidRPr="009C5383">
        <w:rPr>
          <w:rFonts w:cstheme="minorHAnsi"/>
          <w:b/>
          <w:bCs/>
        </w:rPr>
        <w:t>APPROVALS</w:t>
      </w:r>
    </w:p>
    <w:p w14:paraId="40B9C9B2" w14:textId="77777777" w:rsidR="003E1C39" w:rsidRPr="009C5383" w:rsidRDefault="003E1C39" w:rsidP="003E1C39">
      <w:pPr>
        <w:pStyle w:val="NoSpacing"/>
        <w:rPr>
          <w:rFonts w:cstheme="minorHAnsi"/>
        </w:rPr>
      </w:pPr>
      <w:r w:rsidRPr="009C5383">
        <w:rPr>
          <w:rFonts w:cstheme="minorHAnsi"/>
        </w:rPr>
        <w:t xml:space="preserve">_________________________________    </w:t>
      </w:r>
      <w:r w:rsidRPr="009C5383">
        <w:rPr>
          <w:rFonts w:cstheme="minorHAnsi"/>
        </w:rPr>
        <w:tab/>
      </w:r>
      <w:r w:rsidRPr="009C5383">
        <w:rPr>
          <w:rFonts w:cstheme="minorHAnsi"/>
        </w:rPr>
        <w:tab/>
        <w:t>____________________________</w:t>
      </w:r>
    </w:p>
    <w:p w14:paraId="327B8702" w14:textId="77777777" w:rsidR="003E1C39" w:rsidRPr="009C5383" w:rsidRDefault="003E1C39" w:rsidP="003E1C39">
      <w:pPr>
        <w:pStyle w:val="NoSpacing"/>
        <w:rPr>
          <w:rFonts w:cstheme="minorHAnsi"/>
        </w:rPr>
      </w:pPr>
      <w:r w:rsidRPr="009C5383">
        <w:rPr>
          <w:rFonts w:cstheme="minorHAnsi"/>
        </w:rPr>
        <w:t>Designated Institutional Official (Print)</w:t>
      </w:r>
      <w:r w:rsidRPr="009C5383">
        <w:rPr>
          <w:rFonts w:cstheme="minorHAnsi"/>
        </w:rPr>
        <w:tab/>
      </w:r>
      <w:r w:rsidRPr="009C5383">
        <w:rPr>
          <w:rFonts w:cstheme="minorHAnsi"/>
        </w:rPr>
        <w:tab/>
      </w:r>
      <w:r w:rsidRPr="009C5383">
        <w:rPr>
          <w:rFonts w:cstheme="minorHAnsi"/>
        </w:rPr>
        <w:tab/>
        <w:t>Signature</w:t>
      </w:r>
    </w:p>
    <w:p w14:paraId="47F72D4B" w14:textId="77777777" w:rsidR="003E1C39" w:rsidRPr="009C5383" w:rsidRDefault="003E1C39" w:rsidP="003E1C39">
      <w:pPr>
        <w:pStyle w:val="NoSpacing"/>
        <w:rPr>
          <w:rFonts w:cstheme="minorHAnsi"/>
        </w:rPr>
      </w:pPr>
    </w:p>
    <w:p w14:paraId="709180B7" w14:textId="77777777" w:rsidR="003E1C39" w:rsidRPr="009C5383" w:rsidRDefault="003E1C39" w:rsidP="003E1C39">
      <w:pPr>
        <w:pStyle w:val="NoSpacing"/>
        <w:rPr>
          <w:rFonts w:cstheme="minorHAnsi"/>
        </w:rPr>
      </w:pPr>
      <w:r w:rsidRPr="009C5383">
        <w:rPr>
          <w:rFonts w:cstheme="minorHAnsi"/>
        </w:rPr>
        <w:t>__________________________________</w:t>
      </w:r>
      <w:r w:rsidRPr="009C5383">
        <w:rPr>
          <w:rFonts w:cstheme="minorHAnsi"/>
        </w:rPr>
        <w:tab/>
      </w:r>
      <w:r w:rsidRPr="009C5383">
        <w:rPr>
          <w:rFonts w:cstheme="minorHAnsi"/>
        </w:rPr>
        <w:tab/>
        <w:t>_____________________________</w:t>
      </w:r>
    </w:p>
    <w:p w14:paraId="1903F0F5" w14:textId="77777777" w:rsidR="003E1C39" w:rsidRPr="009C5383" w:rsidRDefault="003E1C39" w:rsidP="003E1C39">
      <w:pPr>
        <w:pStyle w:val="NoSpacing"/>
        <w:rPr>
          <w:rFonts w:cstheme="minorHAnsi"/>
        </w:rPr>
      </w:pPr>
      <w:r w:rsidRPr="009C5383">
        <w:rPr>
          <w:rFonts w:cstheme="minorHAnsi"/>
        </w:rPr>
        <w:t>Program Director – Surgery</w:t>
      </w:r>
      <w:r>
        <w:rPr>
          <w:rFonts w:cstheme="minorHAnsi"/>
        </w:rPr>
        <w:t xml:space="preserve"> (Print)</w:t>
      </w:r>
      <w:r w:rsidRPr="009C5383">
        <w:rPr>
          <w:rFonts w:cstheme="minorHAnsi"/>
        </w:rPr>
        <w:tab/>
      </w:r>
      <w:r w:rsidRPr="009C5383">
        <w:rPr>
          <w:rFonts w:cstheme="minorHAnsi"/>
        </w:rPr>
        <w:tab/>
      </w:r>
      <w:r w:rsidRPr="009C5383">
        <w:rPr>
          <w:rFonts w:cstheme="minorHAnsi"/>
        </w:rPr>
        <w:tab/>
        <w:t>Signature</w:t>
      </w:r>
    </w:p>
    <w:p w14:paraId="473F9FE0" w14:textId="77777777" w:rsidR="003E1C39" w:rsidRPr="009C5383" w:rsidRDefault="003E1C39" w:rsidP="003E1C39">
      <w:pPr>
        <w:pStyle w:val="NoSpacing"/>
        <w:rPr>
          <w:rFonts w:cstheme="minorHAnsi"/>
        </w:rPr>
      </w:pPr>
    </w:p>
    <w:p w14:paraId="6EE5290B" w14:textId="77777777" w:rsidR="003E1C39" w:rsidRPr="009C5383" w:rsidRDefault="003E1C39" w:rsidP="003E1C39">
      <w:pPr>
        <w:pStyle w:val="NoSpacing"/>
        <w:rPr>
          <w:rFonts w:cstheme="minorHAnsi"/>
        </w:rPr>
      </w:pPr>
      <w:r w:rsidRPr="009C5383">
        <w:rPr>
          <w:rFonts w:cstheme="minorHAnsi"/>
          <w:b/>
        </w:rPr>
        <w:t>Initial Approval:</w:t>
      </w:r>
      <w:r w:rsidRPr="009C5383">
        <w:rPr>
          <w:rFonts w:cstheme="minorHAnsi"/>
        </w:rPr>
        <w:t xml:space="preserve">  ____________________</w:t>
      </w:r>
    </w:p>
    <w:p w14:paraId="68646E93" w14:textId="77777777" w:rsidR="003E1C39" w:rsidRPr="009C5383" w:rsidRDefault="003E1C39" w:rsidP="003E1C39">
      <w:pPr>
        <w:pStyle w:val="NoSpacing"/>
        <w:rPr>
          <w:rFonts w:cstheme="minorHAnsi"/>
        </w:rPr>
      </w:pPr>
      <w:r w:rsidRPr="009C5383">
        <w:rPr>
          <w:rFonts w:cstheme="minorHAnsi"/>
        </w:rPr>
        <w:tab/>
        <w:t xml:space="preserve">                   Date</w:t>
      </w:r>
    </w:p>
    <w:p w14:paraId="6FF2E6AD" w14:textId="77777777" w:rsidR="003E1C39" w:rsidRDefault="003E1C39" w:rsidP="003E1C39">
      <w:r w:rsidRPr="009C5383">
        <w:rPr>
          <w:rFonts w:cstheme="minorHAnsi"/>
          <w:b/>
          <w:bCs/>
        </w:rPr>
        <w:t>Subsequent Review/Revision(s):</w:t>
      </w:r>
      <w:r w:rsidRPr="009C5383">
        <w:rPr>
          <w:rFonts w:cstheme="minorHAnsi"/>
          <w:bCs/>
        </w:rPr>
        <w:t xml:space="preserve">  </w:t>
      </w:r>
    </w:p>
    <w:p w14:paraId="0089C90F" w14:textId="4E059C30" w:rsidR="005E2D13" w:rsidRDefault="005E2D13" w:rsidP="00921029">
      <w:pPr>
        <w:pStyle w:val="NoSpacing"/>
        <w:rPr>
          <w:b/>
          <w:szCs w:val="24"/>
        </w:rPr>
      </w:pPr>
    </w:p>
    <w:p w14:paraId="4845BC12" w14:textId="5E02A83F" w:rsidR="003E1C39" w:rsidRDefault="003E1C39" w:rsidP="00921029">
      <w:pPr>
        <w:pStyle w:val="NoSpacing"/>
        <w:rPr>
          <w:bCs/>
          <w:szCs w:val="24"/>
        </w:rPr>
      </w:pPr>
      <w:r w:rsidRPr="003E1C39">
        <w:rPr>
          <w:bCs/>
          <w:szCs w:val="24"/>
          <w:highlight w:val="yellow"/>
        </w:rPr>
        <w:t>ACGME Institutional Requirement IV.K</w:t>
      </w:r>
    </w:p>
    <w:p w14:paraId="26FD6D54" w14:textId="2C31B78E" w:rsidR="00127FA1" w:rsidRPr="003E1C39" w:rsidRDefault="00127FA1" w:rsidP="00921029">
      <w:pPr>
        <w:pStyle w:val="NoSpacing"/>
        <w:rPr>
          <w:bCs/>
          <w:szCs w:val="24"/>
        </w:rPr>
      </w:pPr>
      <w:r w:rsidRPr="00127FA1">
        <w:rPr>
          <w:bCs/>
          <w:szCs w:val="24"/>
          <w:highlight w:val="yellow"/>
        </w:rPr>
        <w:t>ACGME Core Requirements VI.F</w:t>
      </w:r>
    </w:p>
    <w:sectPr w:rsidR="00127FA1" w:rsidRPr="003E1C39" w:rsidSect="00BE0B6A">
      <w:headerReference w:type="even" r:id="rId11"/>
      <w:headerReference w:type="default" r:id="rId12"/>
      <w:footerReference w:type="even" r:id="rId13"/>
      <w:footerReference w:type="default" r:id="rId14"/>
      <w:headerReference w:type="first" r:id="rId15"/>
      <w:footerReference w:type="first" r:id="rId16"/>
      <w:pgSz w:w="12240" w:h="15840" w:code="1"/>
      <w:pgMar w:top="1440" w:right="126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1439" w14:textId="77777777" w:rsidR="00456A65" w:rsidRDefault="00456A65">
      <w:r>
        <w:separator/>
      </w:r>
    </w:p>
  </w:endnote>
  <w:endnote w:type="continuationSeparator" w:id="0">
    <w:p w14:paraId="4E32AAFA" w14:textId="77777777" w:rsidR="00456A65" w:rsidRDefault="0045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7DA5" w14:textId="77777777" w:rsidR="00C24C9A" w:rsidRDefault="00C2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8C56" w14:textId="77777777" w:rsidR="00456A65" w:rsidRDefault="00456A65">
      <w:r>
        <w:separator/>
      </w:r>
    </w:p>
  </w:footnote>
  <w:footnote w:type="continuationSeparator" w:id="0">
    <w:p w14:paraId="77021746" w14:textId="77777777" w:rsidR="00456A65" w:rsidRDefault="0045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CA32" w14:textId="77777777" w:rsidR="00C24C9A" w:rsidRDefault="00C2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25DB02AF"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77777777"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BF0"/>
    <w:multiLevelType w:val="hybridMultilevel"/>
    <w:tmpl w:val="B8B6A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D1DAC"/>
    <w:multiLevelType w:val="hybridMultilevel"/>
    <w:tmpl w:val="E842E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E3C9D"/>
    <w:multiLevelType w:val="hybridMultilevel"/>
    <w:tmpl w:val="C5A62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958D9"/>
    <w:multiLevelType w:val="hybridMultilevel"/>
    <w:tmpl w:val="7C50A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E7F6C"/>
    <w:multiLevelType w:val="hybridMultilevel"/>
    <w:tmpl w:val="2A22D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3D3027D"/>
    <w:multiLevelType w:val="hybridMultilevel"/>
    <w:tmpl w:val="05E474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3D31308"/>
    <w:multiLevelType w:val="hybridMultilevel"/>
    <w:tmpl w:val="980CA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648F9"/>
    <w:multiLevelType w:val="hybridMultilevel"/>
    <w:tmpl w:val="9C9A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A1F19"/>
    <w:multiLevelType w:val="hybridMultilevel"/>
    <w:tmpl w:val="2A22D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6903C4"/>
    <w:multiLevelType w:val="hybridMultilevel"/>
    <w:tmpl w:val="69AA1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8E3763"/>
    <w:multiLevelType w:val="hybridMultilevel"/>
    <w:tmpl w:val="C266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635C5"/>
    <w:multiLevelType w:val="hybridMultilevel"/>
    <w:tmpl w:val="E68635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B5377E"/>
    <w:multiLevelType w:val="hybridMultilevel"/>
    <w:tmpl w:val="8DF6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92AE2"/>
    <w:multiLevelType w:val="hybridMultilevel"/>
    <w:tmpl w:val="BFA6D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335E5A"/>
    <w:multiLevelType w:val="hybridMultilevel"/>
    <w:tmpl w:val="6788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64E53"/>
    <w:multiLevelType w:val="hybridMultilevel"/>
    <w:tmpl w:val="F4CCFF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7E64140"/>
    <w:multiLevelType w:val="hybridMultilevel"/>
    <w:tmpl w:val="CE3C5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79665B"/>
    <w:multiLevelType w:val="hybridMultilevel"/>
    <w:tmpl w:val="E7F2F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3C4FE9"/>
    <w:multiLevelType w:val="hybridMultilevel"/>
    <w:tmpl w:val="99D4E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691383">
    <w:abstractNumId w:val="6"/>
  </w:num>
  <w:num w:numId="2" w16cid:durableId="2027364808">
    <w:abstractNumId w:val="18"/>
  </w:num>
  <w:num w:numId="3" w16cid:durableId="2115592199">
    <w:abstractNumId w:val="16"/>
  </w:num>
  <w:num w:numId="4" w16cid:durableId="1586651806">
    <w:abstractNumId w:val="1"/>
  </w:num>
  <w:num w:numId="5" w16cid:durableId="1915385035">
    <w:abstractNumId w:val="9"/>
  </w:num>
  <w:num w:numId="6" w16cid:durableId="1934242126">
    <w:abstractNumId w:val="11"/>
  </w:num>
  <w:num w:numId="7" w16cid:durableId="990907277">
    <w:abstractNumId w:val="0"/>
  </w:num>
  <w:num w:numId="8" w16cid:durableId="687606852">
    <w:abstractNumId w:val="3"/>
  </w:num>
  <w:num w:numId="9" w16cid:durableId="1246695407">
    <w:abstractNumId w:val="13"/>
  </w:num>
  <w:num w:numId="10" w16cid:durableId="544945343">
    <w:abstractNumId w:val="17"/>
  </w:num>
  <w:num w:numId="11" w16cid:durableId="2031566667">
    <w:abstractNumId w:val="2"/>
  </w:num>
  <w:num w:numId="12" w16cid:durableId="1836263228">
    <w:abstractNumId w:val="5"/>
  </w:num>
  <w:num w:numId="13" w16cid:durableId="727342864">
    <w:abstractNumId w:val="15"/>
  </w:num>
  <w:num w:numId="14" w16cid:durableId="1601644065">
    <w:abstractNumId w:val="8"/>
  </w:num>
  <w:num w:numId="15" w16cid:durableId="1798570631">
    <w:abstractNumId w:val="4"/>
  </w:num>
  <w:num w:numId="16" w16cid:durableId="761266764">
    <w:abstractNumId w:val="14"/>
  </w:num>
  <w:num w:numId="17" w16cid:durableId="1112938495">
    <w:abstractNumId w:val="10"/>
  </w:num>
  <w:num w:numId="18" w16cid:durableId="1004627673">
    <w:abstractNumId w:val="12"/>
  </w:num>
  <w:num w:numId="19" w16cid:durableId="16865958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B1A"/>
    <w:rsid w:val="0002269F"/>
    <w:rsid w:val="00027D05"/>
    <w:rsid w:val="00040086"/>
    <w:rsid w:val="000400BF"/>
    <w:rsid w:val="0004018C"/>
    <w:rsid w:val="000407CC"/>
    <w:rsid w:val="00040A79"/>
    <w:rsid w:val="0004275E"/>
    <w:rsid w:val="00047D1F"/>
    <w:rsid w:val="00053FCC"/>
    <w:rsid w:val="0005715B"/>
    <w:rsid w:val="000608F7"/>
    <w:rsid w:val="00060B2A"/>
    <w:rsid w:val="00065CEA"/>
    <w:rsid w:val="00070429"/>
    <w:rsid w:val="00071A2B"/>
    <w:rsid w:val="000815D7"/>
    <w:rsid w:val="00084F39"/>
    <w:rsid w:val="000850E5"/>
    <w:rsid w:val="000867B8"/>
    <w:rsid w:val="0008775E"/>
    <w:rsid w:val="0009077C"/>
    <w:rsid w:val="00093B9A"/>
    <w:rsid w:val="000A0904"/>
    <w:rsid w:val="000A77EE"/>
    <w:rsid w:val="000B6A14"/>
    <w:rsid w:val="000C568F"/>
    <w:rsid w:val="000D0981"/>
    <w:rsid w:val="000D1697"/>
    <w:rsid w:val="000D55AC"/>
    <w:rsid w:val="000D64F5"/>
    <w:rsid w:val="000D6DDE"/>
    <w:rsid w:val="000E1022"/>
    <w:rsid w:val="000E133A"/>
    <w:rsid w:val="000E4994"/>
    <w:rsid w:val="000F2817"/>
    <w:rsid w:val="000F4433"/>
    <w:rsid w:val="000F66AC"/>
    <w:rsid w:val="000F71ED"/>
    <w:rsid w:val="0012652F"/>
    <w:rsid w:val="00127FA1"/>
    <w:rsid w:val="001363D8"/>
    <w:rsid w:val="001471FD"/>
    <w:rsid w:val="00147B61"/>
    <w:rsid w:val="00160E1B"/>
    <w:rsid w:val="001619DD"/>
    <w:rsid w:val="001656D9"/>
    <w:rsid w:val="00175B57"/>
    <w:rsid w:val="0017669A"/>
    <w:rsid w:val="00176E4D"/>
    <w:rsid w:val="00176F8F"/>
    <w:rsid w:val="00184A2F"/>
    <w:rsid w:val="0018746B"/>
    <w:rsid w:val="0018755C"/>
    <w:rsid w:val="001911B0"/>
    <w:rsid w:val="00192313"/>
    <w:rsid w:val="001934EE"/>
    <w:rsid w:val="001A77E2"/>
    <w:rsid w:val="001B1C7A"/>
    <w:rsid w:val="001B4299"/>
    <w:rsid w:val="001B68AE"/>
    <w:rsid w:val="001D1D1A"/>
    <w:rsid w:val="001D5641"/>
    <w:rsid w:val="001D68E2"/>
    <w:rsid w:val="001E032B"/>
    <w:rsid w:val="001E22C2"/>
    <w:rsid w:val="001E76A1"/>
    <w:rsid w:val="001E7C06"/>
    <w:rsid w:val="001F09D9"/>
    <w:rsid w:val="001F27F2"/>
    <w:rsid w:val="001F5473"/>
    <w:rsid w:val="001F674C"/>
    <w:rsid w:val="0020527B"/>
    <w:rsid w:val="00206F02"/>
    <w:rsid w:val="0021731C"/>
    <w:rsid w:val="002175AD"/>
    <w:rsid w:val="00221915"/>
    <w:rsid w:val="00224DE4"/>
    <w:rsid w:val="00232436"/>
    <w:rsid w:val="00240C9B"/>
    <w:rsid w:val="0024462F"/>
    <w:rsid w:val="0024552B"/>
    <w:rsid w:val="00251380"/>
    <w:rsid w:val="00255E1C"/>
    <w:rsid w:val="002615ED"/>
    <w:rsid w:val="00274568"/>
    <w:rsid w:val="002825BA"/>
    <w:rsid w:val="002916EE"/>
    <w:rsid w:val="002A0CEF"/>
    <w:rsid w:val="002C345D"/>
    <w:rsid w:val="002E3FBD"/>
    <w:rsid w:val="002E5DD4"/>
    <w:rsid w:val="002F3436"/>
    <w:rsid w:val="002F4E5E"/>
    <w:rsid w:val="00301980"/>
    <w:rsid w:val="00305AF7"/>
    <w:rsid w:val="00310859"/>
    <w:rsid w:val="0031238A"/>
    <w:rsid w:val="00314152"/>
    <w:rsid w:val="00332A23"/>
    <w:rsid w:val="0034442B"/>
    <w:rsid w:val="003519CB"/>
    <w:rsid w:val="00355349"/>
    <w:rsid w:val="00355AB7"/>
    <w:rsid w:val="0036087B"/>
    <w:rsid w:val="00362EB1"/>
    <w:rsid w:val="00382E11"/>
    <w:rsid w:val="00383160"/>
    <w:rsid w:val="0039262D"/>
    <w:rsid w:val="003958D4"/>
    <w:rsid w:val="003A237B"/>
    <w:rsid w:val="003B0CA1"/>
    <w:rsid w:val="003C5E25"/>
    <w:rsid w:val="003C7498"/>
    <w:rsid w:val="003D1D48"/>
    <w:rsid w:val="003D4E03"/>
    <w:rsid w:val="003D597C"/>
    <w:rsid w:val="003E1C39"/>
    <w:rsid w:val="003E2C54"/>
    <w:rsid w:val="003E4A8F"/>
    <w:rsid w:val="003E7725"/>
    <w:rsid w:val="003F1257"/>
    <w:rsid w:val="003F24E0"/>
    <w:rsid w:val="003F5995"/>
    <w:rsid w:val="003F72B3"/>
    <w:rsid w:val="003F7D00"/>
    <w:rsid w:val="00400686"/>
    <w:rsid w:val="004007A3"/>
    <w:rsid w:val="00401A9A"/>
    <w:rsid w:val="0040260C"/>
    <w:rsid w:val="0040291F"/>
    <w:rsid w:val="004121B8"/>
    <w:rsid w:val="004125FC"/>
    <w:rsid w:val="00422A6B"/>
    <w:rsid w:val="00425CDB"/>
    <w:rsid w:val="004270B5"/>
    <w:rsid w:val="00441AC3"/>
    <w:rsid w:val="00445E54"/>
    <w:rsid w:val="00455F93"/>
    <w:rsid w:val="00456A65"/>
    <w:rsid w:val="004571A1"/>
    <w:rsid w:val="00463E99"/>
    <w:rsid w:val="00476830"/>
    <w:rsid w:val="0047709A"/>
    <w:rsid w:val="00481B92"/>
    <w:rsid w:val="004825A6"/>
    <w:rsid w:val="00483626"/>
    <w:rsid w:val="004905F9"/>
    <w:rsid w:val="00492598"/>
    <w:rsid w:val="004A14F5"/>
    <w:rsid w:val="004A1B18"/>
    <w:rsid w:val="004A2AC6"/>
    <w:rsid w:val="004A54A1"/>
    <w:rsid w:val="004B3221"/>
    <w:rsid w:val="004B3BEE"/>
    <w:rsid w:val="004C0AD7"/>
    <w:rsid w:val="004C24FA"/>
    <w:rsid w:val="004C2A28"/>
    <w:rsid w:val="004C3C48"/>
    <w:rsid w:val="004D79C3"/>
    <w:rsid w:val="004E05E2"/>
    <w:rsid w:val="004E14C8"/>
    <w:rsid w:val="004E4A2F"/>
    <w:rsid w:val="004F2994"/>
    <w:rsid w:val="004F51D5"/>
    <w:rsid w:val="004F6E28"/>
    <w:rsid w:val="004F706E"/>
    <w:rsid w:val="005107C0"/>
    <w:rsid w:val="00511515"/>
    <w:rsid w:val="00511698"/>
    <w:rsid w:val="005143A5"/>
    <w:rsid w:val="00527F86"/>
    <w:rsid w:val="00530D94"/>
    <w:rsid w:val="00531BEE"/>
    <w:rsid w:val="00533C8E"/>
    <w:rsid w:val="00534640"/>
    <w:rsid w:val="00536201"/>
    <w:rsid w:val="00562BB4"/>
    <w:rsid w:val="005655C1"/>
    <w:rsid w:val="005656FD"/>
    <w:rsid w:val="005730BB"/>
    <w:rsid w:val="00577440"/>
    <w:rsid w:val="00580479"/>
    <w:rsid w:val="00583472"/>
    <w:rsid w:val="00585F2B"/>
    <w:rsid w:val="00594272"/>
    <w:rsid w:val="005A0467"/>
    <w:rsid w:val="005B1281"/>
    <w:rsid w:val="005B2D04"/>
    <w:rsid w:val="005B377A"/>
    <w:rsid w:val="005B6062"/>
    <w:rsid w:val="005B6229"/>
    <w:rsid w:val="005C2B2D"/>
    <w:rsid w:val="005C4192"/>
    <w:rsid w:val="005C4615"/>
    <w:rsid w:val="005C6035"/>
    <w:rsid w:val="005D29CE"/>
    <w:rsid w:val="005D56F1"/>
    <w:rsid w:val="005E0E1F"/>
    <w:rsid w:val="005E1937"/>
    <w:rsid w:val="005E2D13"/>
    <w:rsid w:val="005E66CD"/>
    <w:rsid w:val="00611CE2"/>
    <w:rsid w:val="00614216"/>
    <w:rsid w:val="00622CCF"/>
    <w:rsid w:val="006337E7"/>
    <w:rsid w:val="006433EA"/>
    <w:rsid w:val="00650E00"/>
    <w:rsid w:val="006617B1"/>
    <w:rsid w:val="00663FD7"/>
    <w:rsid w:val="00665F9A"/>
    <w:rsid w:val="006726EF"/>
    <w:rsid w:val="0067512D"/>
    <w:rsid w:val="00683C13"/>
    <w:rsid w:val="00683DFB"/>
    <w:rsid w:val="00685864"/>
    <w:rsid w:val="006932E0"/>
    <w:rsid w:val="00693A0E"/>
    <w:rsid w:val="006B18D4"/>
    <w:rsid w:val="006C0FC2"/>
    <w:rsid w:val="006C2421"/>
    <w:rsid w:val="006C75A5"/>
    <w:rsid w:val="006D2B08"/>
    <w:rsid w:val="006D4C8F"/>
    <w:rsid w:val="006D4CC5"/>
    <w:rsid w:val="006E1034"/>
    <w:rsid w:val="006E26E7"/>
    <w:rsid w:val="006E5447"/>
    <w:rsid w:val="006F09C6"/>
    <w:rsid w:val="00713326"/>
    <w:rsid w:val="0071790B"/>
    <w:rsid w:val="00722A05"/>
    <w:rsid w:val="0073094E"/>
    <w:rsid w:val="00732CB1"/>
    <w:rsid w:val="007455C6"/>
    <w:rsid w:val="007461EC"/>
    <w:rsid w:val="00747620"/>
    <w:rsid w:val="00750A69"/>
    <w:rsid w:val="00750BF5"/>
    <w:rsid w:val="0075146C"/>
    <w:rsid w:val="00764B2B"/>
    <w:rsid w:val="00764E1F"/>
    <w:rsid w:val="00765D6A"/>
    <w:rsid w:val="00766199"/>
    <w:rsid w:val="00766BFF"/>
    <w:rsid w:val="007806A1"/>
    <w:rsid w:val="00781CDF"/>
    <w:rsid w:val="00781D4C"/>
    <w:rsid w:val="00782A1B"/>
    <w:rsid w:val="00795763"/>
    <w:rsid w:val="00797532"/>
    <w:rsid w:val="007A0518"/>
    <w:rsid w:val="007A0FE6"/>
    <w:rsid w:val="007A4AD5"/>
    <w:rsid w:val="007B286B"/>
    <w:rsid w:val="007D1B65"/>
    <w:rsid w:val="007D3BA2"/>
    <w:rsid w:val="007D56E7"/>
    <w:rsid w:val="007E052C"/>
    <w:rsid w:val="007E1854"/>
    <w:rsid w:val="007E36C3"/>
    <w:rsid w:val="007E5897"/>
    <w:rsid w:val="007E723B"/>
    <w:rsid w:val="007E794E"/>
    <w:rsid w:val="008026B4"/>
    <w:rsid w:val="0080674D"/>
    <w:rsid w:val="00807093"/>
    <w:rsid w:val="008077EF"/>
    <w:rsid w:val="0082197A"/>
    <w:rsid w:val="00825B2A"/>
    <w:rsid w:val="00830073"/>
    <w:rsid w:val="008307D2"/>
    <w:rsid w:val="008346F1"/>
    <w:rsid w:val="00856464"/>
    <w:rsid w:val="008710B0"/>
    <w:rsid w:val="00874DA3"/>
    <w:rsid w:val="008751D4"/>
    <w:rsid w:val="00880864"/>
    <w:rsid w:val="00880DF6"/>
    <w:rsid w:val="008825AD"/>
    <w:rsid w:val="00884803"/>
    <w:rsid w:val="00896AF1"/>
    <w:rsid w:val="00896F06"/>
    <w:rsid w:val="008A075F"/>
    <w:rsid w:val="008A1A4C"/>
    <w:rsid w:val="008A5282"/>
    <w:rsid w:val="008A6FFC"/>
    <w:rsid w:val="008B1834"/>
    <w:rsid w:val="008B28A9"/>
    <w:rsid w:val="008B5C18"/>
    <w:rsid w:val="008B6299"/>
    <w:rsid w:val="008B7BD1"/>
    <w:rsid w:val="008D0676"/>
    <w:rsid w:val="008D4395"/>
    <w:rsid w:val="008D5831"/>
    <w:rsid w:val="008E09BF"/>
    <w:rsid w:val="008E4497"/>
    <w:rsid w:val="008E5642"/>
    <w:rsid w:val="008E70D0"/>
    <w:rsid w:val="008F63FA"/>
    <w:rsid w:val="009025C4"/>
    <w:rsid w:val="00902AE3"/>
    <w:rsid w:val="009113A6"/>
    <w:rsid w:val="00913749"/>
    <w:rsid w:val="009142A5"/>
    <w:rsid w:val="00914F54"/>
    <w:rsid w:val="00916ABE"/>
    <w:rsid w:val="00920884"/>
    <w:rsid w:val="00920A3E"/>
    <w:rsid w:val="00921029"/>
    <w:rsid w:val="00930246"/>
    <w:rsid w:val="00944F0B"/>
    <w:rsid w:val="00945868"/>
    <w:rsid w:val="009504B5"/>
    <w:rsid w:val="00950718"/>
    <w:rsid w:val="0095658A"/>
    <w:rsid w:val="00964086"/>
    <w:rsid w:val="0096484E"/>
    <w:rsid w:val="00970B5B"/>
    <w:rsid w:val="0097381E"/>
    <w:rsid w:val="0097570C"/>
    <w:rsid w:val="00992467"/>
    <w:rsid w:val="009A6519"/>
    <w:rsid w:val="009A6760"/>
    <w:rsid w:val="009C5E89"/>
    <w:rsid w:val="009D07B6"/>
    <w:rsid w:val="009D2000"/>
    <w:rsid w:val="009D43A2"/>
    <w:rsid w:val="009D6EDF"/>
    <w:rsid w:val="009E5166"/>
    <w:rsid w:val="009E7FAD"/>
    <w:rsid w:val="009F1283"/>
    <w:rsid w:val="009F2289"/>
    <w:rsid w:val="00A0257A"/>
    <w:rsid w:val="00A12AAD"/>
    <w:rsid w:val="00A15B0D"/>
    <w:rsid w:val="00A201E3"/>
    <w:rsid w:val="00A27489"/>
    <w:rsid w:val="00A2771B"/>
    <w:rsid w:val="00A27F11"/>
    <w:rsid w:val="00A5215B"/>
    <w:rsid w:val="00A532F8"/>
    <w:rsid w:val="00A70524"/>
    <w:rsid w:val="00A84EAF"/>
    <w:rsid w:val="00A93031"/>
    <w:rsid w:val="00AA6D1F"/>
    <w:rsid w:val="00AB1213"/>
    <w:rsid w:val="00AB2617"/>
    <w:rsid w:val="00AB5653"/>
    <w:rsid w:val="00AD161E"/>
    <w:rsid w:val="00AD2ECD"/>
    <w:rsid w:val="00AD77A2"/>
    <w:rsid w:val="00AE461E"/>
    <w:rsid w:val="00AE5F07"/>
    <w:rsid w:val="00AE78BA"/>
    <w:rsid w:val="00B0044D"/>
    <w:rsid w:val="00B050C9"/>
    <w:rsid w:val="00B10832"/>
    <w:rsid w:val="00B168B6"/>
    <w:rsid w:val="00B26858"/>
    <w:rsid w:val="00B26EAC"/>
    <w:rsid w:val="00B3314F"/>
    <w:rsid w:val="00B34FC8"/>
    <w:rsid w:val="00B40F7A"/>
    <w:rsid w:val="00B51B7D"/>
    <w:rsid w:val="00B56D5C"/>
    <w:rsid w:val="00B71681"/>
    <w:rsid w:val="00B7447F"/>
    <w:rsid w:val="00B76982"/>
    <w:rsid w:val="00B84777"/>
    <w:rsid w:val="00B8562B"/>
    <w:rsid w:val="00B87741"/>
    <w:rsid w:val="00B90680"/>
    <w:rsid w:val="00B9257F"/>
    <w:rsid w:val="00B93F42"/>
    <w:rsid w:val="00B95E1C"/>
    <w:rsid w:val="00BB6398"/>
    <w:rsid w:val="00BB6CEF"/>
    <w:rsid w:val="00BB6D50"/>
    <w:rsid w:val="00BB71A2"/>
    <w:rsid w:val="00BB786E"/>
    <w:rsid w:val="00BC0F3A"/>
    <w:rsid w:val="00BD150C"/>
    <w:rsid w:val="00BD6E78"/>
    <w:rsid w:val="00BE0B6A"/>
    <w:rsid w:val="00BE1457"/>
    <w:rsid w:val="00BE731F"/>
    <w:rsid w:val="00C0283B"/>
    <w:rsid w:val="00C12705"/>
    <w:rsid w:val="00C17411"/>
    <w:rsid w:val="00C24C9A"/>
    <w:rsid w:val="00C25F53"/>
    <w:rsid w:val="00C325F6"/>
    <w:rsid w:val="00C4549A"/>
    <w:rsid w:val="00C46723"/>
    <w:rsid w:val="00C54774"/>
    <w:rsid w:val="00C57309"/>
    <w:rsid w:val="00C57A27"/>
    <w:rsid w:val="00C61060"/>
    <w:rsid w:val="00C7276C"/>
    <w:rsid w:val="00C76191"/>
    <w:rsid w:val="00C7742D"/>
    <w:rsid w:val="00C84703"/>
    <w:rsid w:val="00C85EE8"/>
    <w:rsid w:val="00C874DA"/>
    <w:rsid w:val="00C96B24"/>
    <w:rsid w:val="00CA50EF"/>
    <w:rsid w:val="00CC2616"/>
    <w:rsid w:val="00CD04DC"/>
    <w:rsid w:val="00CD7D57"/>
    <w:rsid w:val="00CD7D64"/>
    <w:rsid w:val="00CE36D2"/>
    <w:rsid w:val="00CE6491"/>
    <w:rsid w:val="00CF1FF6"/>
    <w:rsid w:val="00CF242E"/>
    <w:rsid w:val="00CF5077"/>
    <w:rsid w:val="00CF54FD"/>
    <w:rsid w:val="00CF70E5"/>
    <w:rsid w:val="00D07EAE"/>
    <w:rsid w:val="00D104F2"/>
    <w:rsid w:val="00D10792"/>
    <w:rsid w:val="00D1314C"/>
    <w:rsid w:val="00D177D2"/>
    <w:rsid w:val="00D228B4"/>
    <w:rsid w:val="00D40353"/>
    <w:rsid w:val="00D43543"/>
    <w:rsid w:val="00D5333A"/>
    <w:rsid w:val="00D53E14"/>
    <w:rsid w:val="00D5654B"/>
    <w:rsid w:val="00D56771"/>
    <w:rsid w:val="00D673D5"/>
    <w:rsid w:val="00D67A7E"/>
    <w:rsid w:val="00D87D59"/>
    <w:rsid w:val="00D91956"/>
    <w:rsid w:val="00DA109E"/>
    <w:rsid w:val="00DA6908"/>
    <w:rsid w:val="00DA76BB"/>
    <w:rsid w:val="00DB0863"/>
    <w:rsid w:val="00DB1073"/>
    <w:rsid w:val="00DC2A3F"/>
    <w:rsid w:val="00DD2C0B"/>
    <w:rsid w:val="00DD3CB9"/>
    <w:rsid w:val="00DD686A"/>
    <w:rsid w:val="00DD6B10"/>
    <w:rsid w:val="00DE3A3F"/>
    <w:rsid w:val="00DE5877"/>
    <w:rsid w:val="00DF0089"/>
    <w:rsid w:val="00DF0C17"/>
    <w:rsid w:val="00DF3155"/>
    <w:rsid w:val="00DF4F70"/>
    <w:rsid w:val="00E003D7"/>
    <w:rsid w:val="00E06F34"/>
    <w:rsid w:val="00E21247"/>
    <w:rsid w:val="00E21A56"/>
    <w:rsid w:val="00E32F15"/>
    <w:rsid w:val="00E37A04"/>
    <w:rsid w:val="00E40B50"/>
    <w:rsid w:val="00E4128A"/>
    <w:rsid w:val="00E4755C"/>
    <w:rsid w:val="00E5053C"/>
    <w:rsid w:val="00E51434"/>
    <w:rsid w:val="00E601A1"/>
    <w:rsid w:val="00E631DC"/>
    <w:rsid w:val="00E727DE"/>
    <w:rsid w:val="00E75B8F"/>
    <w:rsid w:val="00E80DB8"/>
    <w:rsid w:val="00E96524"/>
    <w:rsid w:val="00E96DE7"/>
    <w:rsid w:val="00E97E4C"/>
    <w:rsid w:val="00EA228C"/>
    <w:rsid w:val="00EB0F5E"/>
    <w:rsid w:val="00EB2CD3"/>
    <w:rsid w:val="00EC5612"/>
    <w:rsid w:val="00ED01BC"/>
    <w:rsid w:val="00ED5586"/>
    <w:rsid w:val="00EE09DA"/>
    <w:rsid w:val="00EE6A8D"/>
    <w:rsid w:val="00EF793C"/>
    <w:rsid w:val="00F02C2D"/>
    <w:rsid w:val="00F04035"/>
    <w:rsid w:val="00F12CC9"/>
    <w:rsid w:val="00F3395D"/>
    <w:rsid w:val="00F34259"/>
    <w:rsid w:val="00F410BE"/>
    <w:rsid w:val="00F42ADE"/>
    <w:rsid w:val="00F43403"/>
    <w:rsid w:val="00F43432"/>
    <w:rsid w:val="00F4727E"/>
    <w:rsid w:val="00F52E71"/>
    <w:rsid w:val="00F5473D"/>
    <w:rsid w:val="00F54B81"/>
    <w:rsid w:val="00F56008"/>
    <w:rsid w:val="00F75717"/>
    <w:rsid w:val="00F81D12"/>
    <w:rsid w:val="00F81F2A"/>
    <w:rsid w:val="00F827E9"/>
    <w:rsid w:val="00FA4781"/>
    <w:rsid w:val="00FB129A"/>
    <w:rsid w:val="00FB233D"/>
    <w:rsid w:val="00FB5385"/>
    <w:rsid w:val="00FB59CC"/>
    <w:rsid w:val="00FC063D"/>
    <w:rsid w:val="00FC0BEA"/>
    <w:rsid w:val="00FC1E35"/>
    <w:rsid w:val="00FC5037"/>
    <w:rsid w:val="00FD36D5"/>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15:docId w15:val="{4ADA3489-3791-4CC7-9986-37322F6B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customXml/itemProps2.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4.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2661</Characters>
  <Application>Microsoft Office Word</Application>
  <DocSecurity>0</DocSecurity>
  <PresentationFormat/>
  <Lines>78</Lines>
  <Paragraphs>52</Paragraphs>
  <ScaleCrop>false</ScaleCrop>
  <HeadingPairs>
    <vt:vector size="2" baseType="variant">
      <vt:variant>
        <vt:lpstr>Title</vt:lpstr>
      </vt:variant>
      <vt:variant>
        <vt:i4>1</vt:i4>
      </vt:variant>
    </vt:vector>
  </HeadingPairs>
  <TitlesOfParts>
    <vt:vector size="1" baseType="lpstr">
      <vt:lpstr>[Insert MBO Name]</vt:lpstr>
    </vt:vector>
  </TitlesOfParts>
  <Company>Trinity Health</Company>
  <LinksUpToDate>false</LinksUpToDate>
  <CharactersWithSpaces>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Gary Hodge</cp:lastModifiedBy>
  <cp:revision>6</cp:revision>
  <cp:lastPrinted>2006-01-17T17:34:00Z</cp:lastPrinted>
  <dcterms:created xsi:type="dcterms:W3CDTF">2023-03-10T18:26:00Z</dcterms:created>
  <dcterms:modified xsi:type="dcterms:W3CDTF">2025-12-19T15:26:00Z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